
<file path=[Content_Types].xml><?xml version="1.0" encoding="utf-8"?>
<Types xmlns="http://schemas.openxmlformats.org/package/2006/content-types">
  <Default Extension="bin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sz w:val="24"/>
          <w:szCs w:val="20"/>
          <w:lang w:eastAsia="en-US"/>
        </w:rPr>
        <w:alias w:val="TechnicalBlock"/>
        <w:tag w:val="LCK:TechnicalBlock"/>
        <w:id w:val="-1054543902"/>
        <w:lock w:val="contentLocked"/>
      </w:sdtPr>
      <w:sdtEndPr>
        <w:rPr>
          <w:szCs w:val="22"/>
        </w:rPr>
      </w:sdtEndPr>
      <w:sdtContent>
        <w:tbl>
          <w:tblPr>
            <w:tblW w:w="11317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49"/>
            <w:gridCol w:w="957"/>
            <w:gridCol w:w="2853"/>
            <w:gridCol w:w="281"/>
            <w:gridCol w:w="5528"/>
            <w:gridCol w:w="849"/>
          </w:tblGrid>
          <w:tr w:rsidR="00096432" w:rsidRPr="0056157B" w14:paraId="5D808A33" w14:textId="77777777" w:rsidTr="001B4E46">
            <w:trPr>
              <w:cantSplit/>
              <w:trHeight w:val="510"/>
              <w:jc w:val="center"/>
            </w:trPr>
            <w:tc>
              <w:tcPr>
                <w:tcW w:w="11317" w:type="dxa"/>
                <w:gridSpan w:val="6"/>
                <w:vAlign w:val="bottom"/>
              </w:tcPr>
              <w:p w14:paraId="523F327B" w14:textId="77777777" w:rsidR="00096432" w:rsidRPr="0056157B" w:rsidRDefault="00096432" w:rsidP="00634DC7">
                <w:pPr>
                  <w:pStyle w:val="TBNormalTechnicalBlock"/>
                </w:pPr>
              </w:p>
            </w:tc>
          </w:tr>
          <w:tr w:rsidR="00096432" w:rsidRPr="0056157B" w14:paraId="41CD284B" w14:textId="77777777" w:rsidTr="00FA42B9">
            <w:trPr>
              <w:cantSplit/>
              <w:trHeight w:val="567"/>
              <w:jc w:val="center"/>
            </w:trPr>
            <w:tc>
              <w:tcPr>
                <w:tcW w:w="1806" w:type="dxa"/>
                <w:gridSpan w:val="2"/>
                <w:vAlign w:val="bottom"/>
              </w:tcPr>
              <w:p w14:paraId="2742A77D" w14:textId="77777777" w:rsidR="00096432" w:rsidRPr="0056157B" w:rsidRDefault="00096432" w:rsidP="00EB10A0">
                <w:pPr>
                  <w:pStyle w:val="TBEntInstit"/>
                  <w:spacing w:after="60"/>
                </w:pPr>
                <w:r w:rsidRPr="006C5D93">
                  <w:rPr>
                    <w:noProof/>
                  </w:rPr>
                  <w:drawing>
                    <wp:inline distT="0" distB="0" distL="0" distR="0" wp14:anchorId="5ADCF203" wp14:editId="693D33EE">
                      <wp:extent cx="626400" cy="522000"/>
                      <wp:effectExtent l="0" t="0" r="2540" b="0"/>
                      <wp:docPr id="78784753" name="Picture 787847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11" w:type="dxa"/>
                <w:gridSpan w:val="4"/>
                <w:tcMar>
                  <w:left w:w="85" w:type="dxa"/>
                </w:tcMar>
                <w:vAlign w:val="bottom"/>
              </w:tcPr>
              <w:p w14:paraId="43201B89" w14:textId="77777777" w:rsidR="00096432" w:rsidRPr="0056157B" w:rsidRDefault="00096432" w:rsidP="0001269D">
                <w:pPr>
                  <w:pStyle w:val="TBInstitution"/>
                </w:pPr>
                <w:r>
                  <w:t>Council of the European Union</w:t>
                </w:r>
                <w:r>
                  <w:br/>
                </w:r>
                <w:r>
                  <w:rPr>
                    <w:b w:val="0"/>
                  </w:rPr>
                  <w:t>General Secretariat</w:t>
                </w:r>
              </w:p>
            </w:tc>
          </w:tr>
          <w:tr w:rsidR="00096432" w:rsidRPr="00B84B6D" w14:paraId="15E42434" w14:textId="77777777" w:rsidTr="00F14284">
            <w:trPr>
              <w:gridBefore w:val="1"/>
              <w:gridAfter w:val="1"/>
              <w:wBefore w:w="849" w:type="dxa"/>
              <w:wAfter w:w="849" w:type="dxa"/>
              <w:cantSplit/>
              <w:trHeight w:val="83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768F90B2" w14:textId="77777777" w:rsidR="00096432" w:rsidRPr="0056157B" w:rsidRDefault="00096432" w:rsidP="00512AC5">
                <w:pPr>
                  <w:pStyle w:val="TBEntReferNew"/>
                </w:pPr>
              </w:p>
            </w:tc>
            <w:tc>
              <w:tcPr>
                <w:tcW w:w="281" w:type="dxa"/>
                <w:vMerge w:val="restart"/>
                <w:vAlign w:val="bottom"/>
              </w:tcPr>
              <w:p w14:paraId="7CAEF97E" w14:textId="77777777" w:rsidR="00096432" w:rsidRPr="0056157B" w:rsidRDefault="00096432" w:rsidP="00F14284">
                <w:pPr>
                  <w:jc w:val="right"/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 w:val="restart"/>
              </w:tcPr>
              <w:p w14:paraId="5FA6484A" w14:textId="77777777" w:rsidR="00096432" w:rsidRPr="0056157B" w:rsidRDefault="00096432" w:rsidP="00233A0E">
                <w:pPr>
                  <w:pStyle w:val="TBNormalTechnicalBlock"/>
                  <w:rPr>
                    <w:b/>
                  </w:rPr>
                </w:pPr>
              </w:p>
              <w:p w14:paraId="09301FEB" w14:textId="77777777" w:rsidR="00096432" w:rsidRDefault="00096432" w:rsidP="00C60C67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  <w:r>
                  <w:t>Brussels, 19 November 2025</w:t>
                </w:r>
              </w:p>
              <w:p w14:paraId="16453677" w14:textId="77777777" w:rsidR="00096432" w:rsidRPr="0019440B" w:rsidRDefault="00096432" w:rsidP="00233A0E">
                <w:pPr>
                  <w:pStyle w:val="TBNormalTechnicalBlock"/>
                </w:pPr>
              </w:p>
              <w:p w14:paraId="784740A1" w14:textId="77777777" w:rsidR="00096432" w:rsidRDefault="00096432" w:rsidP="00233A0E">
                <w:pPr>
                  <w:pStyle w:val="TBNormalTechnicalBlock"/>
                </w:pPr>
                <w:r>
                  <w:t>CM 5151</w:t>
                </w:r>
                <w:r w:rsidRPr="0056157B">
                  <w:t>/</w:t>
                </w:r>
                <w:r>
                  <w:t>25</w:t>
                </w:r>
              </w:p>
              <w:p w14:paraId="608752AD" w14:textId="77777777" w:rsidR="00096432" w:rsidRPr="009E0BE9" w:rsidRDefault="00096432" w:rsidP="00F810A7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OJ CRP1</w:t>
                </w:r>
              </w:p>
              <w:p w14:paraId="427BB028" w14:textId="77777777" w:rsidR="00096432" w:rsidRPr="009E0BE9" w:rsidRDefault="00096432" w:rsidP="00233A0E">
                <w:pPr>
                  <w:pStyle w:val="TBNormalTechnicalBlock"/>
                </w:pPr>
              </w:p>
              <w:p w14:paraId="1E21CB4B" w14:textId="77777777" w:rsidR="00096432" w:rsidRPr="009E0BE9" w:rsidRDefault="00096432" w:rsidP="00233A0E">
                <w:pPr>
                  <w:pStyle w:val="TBNormalTechnicalBlock"/>
                </w:pPr>
              </w:p>
              <w:p w14:paraId="1180D125" w14:textId="77777777" w:rsidR="00096432" w:rsidRPr="009E0BE9" w:rsidRDefault="00096432" w:rsidP="00DE1A2F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</w:p>
            </w:tc>
          </w:tr>
          <w:tr w:rsidR="00096432" w:rsidRPr="00ED0749" w14:paraId="1D76CF5E" w14:textId="77777777" w:rsidTr="00FA42B9">
            <w:trPr>
              <w:gridBefore w:val="1"/>
              <w:gridAfter w:val="1"/>
              <w:wBefore w:w="849" w:type="dxa"/>
              <w:wAfter w:w="849" w:type="dxa"/>
              <w:cantSplit/>
              <w:trHeight w:val="99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6C4D955C" w14:textId="77777777" w:rsidR="00096432" w:rsidRPr="00ED0749" w:rsidRDefault="00096432" w:rsidP="00AE0965">
                <w:pPr>
                  <w:pStyle w:val="TBSousEmbargo"/>
                </w:pPr>
              </w:p>
            </w:tc>
            <w:tc>
              <w:tcPr>
                <w:tcW w:w="281" w:type="dxa"/>
                <w:vMerge/>
                <w:vAlign w:val="center"/>
              </w:tcPr>
              <w:p w14:paraId="7767ECA5" w14:textId="77777777" w:rsidR="00096432" w:rsidRPr="00ED0749" w:rsidRDefault="00096432" w:rsidP="00C205CF">
                <w:pPr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/>
              </w:tcPr>
              <w:p w14:paraId="68EE6A74" w14:textId="77777777" w:rsidR="00096432" w:rsidRPr="00ED0749" w:rsidRDefault="00096432">
                <w:pPr>
                  <w:pStyle w:val="TBEntRefer"/>
                  <w:rPr>
                    <w:szCs w:val="23"/>
                  </w:rPr>
                </w:pPr>
              </w:p>
            </w:tc>
          </w:tr>
        </w:tbl>
        <w:p w14:paraId="71FDF9D9" w14:textId="77777777" w:rsidR="00096432" w:rsidRPr="00ED0749" w:rsidRDefault="00096432" w:rsidP="00DF1147">
          <w:pPr>
            <w:pStyle w:val="TBEntRefer"/>
            <w:rPr>
              <w:sz w:val="2"/>
              <w:szCs w:val="2"/>
            </w:rPr>
          </w:pPr>
        </w:p>
        <w:p w14:paraId="3766FC95" w14:textId="77777777" w:rsidR="00096432" w:rsidRPr="00DD01AC" w:rsidRDefault="00096432" w:rsidP="00DA0624">
          <w:pPr>
            <w:rPr>
              <w:sz w:val="2"/>
              <w:szCs w:val="2"/>
            </w:rPr>
          </w:pPr>
        </w:p>
        <w:tbl>
          <w:tblPr>
            <w:tblW w:w="9645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645"/>
          </w:tblGrid>
          <w:tr w:rsidR="00096432" w:rsidRPr="00133225" w14:paraId="3B5B7318" w14:textId="77777777" w:rsidTr="001E5BC3">
            <w:trPr>
              <w:jc w:val="center"/>
            </w:trPr>
            <w:tc>
              <w:tcPr>
                <w:tcW w:w="9645" w:type="dxa"/>
              </w:tcPr>
              <w:p w14:paraId="04F4B8A0" w14:textId="77777777" w:rsidR="00096432" w:rsidRPr="00C4351E" w:rsidRDefault="00096432" w:rsidP="00C728BF">
                <w:pPr>
                  <w:pStyle w:val="TBHeadingTable"/>
                </w:pPr>
                <w:r>
                  <w:t>NOTICE OF MEETING AND PROVISIONAL AGENDA</w:t>
                </w:r>
              </w:p>
            </w:tc>
          </w:tr>
          <w:tr w:rsidR="00096432" w:rsidRPr="007D53AD" w14:paraId="4C48F9CB" w14:textId="77777777" w:rsidTr="001E5BC3">
            <w:trPr>
              <w:jc w:val="center"/>
            </w:trPr>
            <w:tc>
              <w:tcPr>
                <w:tcW w:w="9645" w:type="dxa"/>
              </w:tcPr>
              <w:p w14:paraId="3E5B3690" w14:textId="77777777" w:rsidR="00096432" w:rsidRPr="007D53AD" w:rsidRDefault="00096432" w:rsidP="006368AC">
                <w:pPr>
                  <w:pStyle w:val="TBTableText"/>
                </w:pPr>
                <w:r>
                  <w:t>PERMANENT REPRESENTATIVES COMMITTEE (Part 1)</w:t>
                </w:r>
              </w:p>
            </w:tc>
          </w:tr>
          <w:tr w:rsidR="00096432" w:rsidRPr="007D53AD" w14:paraId="73DD8B48" w14:textId="77777777" w:rsidTr="001E5BC3">
            <w:trPr>
              <w:jc w:val="center"/>
            </w:trPr>
            <w:tc>
              <w:tcPr>
                <w:tcW w:w="9645" w:type="dxa"/>
              </w:tcPr>
              <w:p w14:paraId="26A3C587" w14:textId="77777777" w:rsidR="00096432" w:rsidRPr="006368AC" w:rsidRDefault="00096432" w:rsidP="006368AC">
                <w:pPr>
                  <w:pStyle w:val="TBTableText"/>
                </w:pPr>
                <w:r>
                  <w:t>Europa building, Brussels</w:t>
                </w:r>
              </w:p>
            </w:tc>
          </w:tr>
          <w:tr w:rsidR="00096432" w:rsidRPr="007D53AD" w14:paraId="344CCE36" w14:textId="77777777" w:rsidTr="001E5BC3">
            <w:trPr>
              <w:jc w:val="center"/>
            </w:trPr>
            <w:tc>
              <w:tcPr>
                <w:tcW w:w="9645" w:type="dxa"/>
              </w:tcPr>
              <w:p w14:paraId="15352EB0" w14:textId="77777777" w:rsidR="00096432" w:rsidRPr="006368AC" w:rsidRDefault="00096432" w:rsidP="008639D3">
                <w:pPr>
                  <w:pStyle w:val="TBTableText"/>
                </w:pPr>
                <w:r>
                  <w:t>26 and 28 November 2025 (10:00, 18:00)</w:t>
                </w:r>
              </w:p>
            </w:tc>
          </w:tr>
        </w:tbl>
        <w:p w14:paraId="018FB0E8" w14:textId="77777777" w:rsidR="00096432" w:rsidRPr="008C6FD6" w:rsidRDefault="006805B0" w:rsidP="008C6FD6">
          <w:pPr>
            <w:spacing w:before="20" w:after="240" w:line="20" w:lineRule="exact"/>
            <w:rPr>
              <w:sz w:val="2"/>
              <w:szCs w:val="2"/>
            </w:rPr>
          </w:pPr>
        </w:p>
      </w:sdtContent>
    </w:sdt>
    <w:p w14:paraId="00826C1B" w14:textId="77777777" w:rsidR="003832D1" w:rsidRPr="00F80FE8" w:rsidRDefault="003832D1" w:rsidP="003832D1">
      <w:pPr>
        <w:spacing w:before="360"/>
        <w:rPr>
          <w:b/>
          <w:bCs/>
          <w:u w:val="single"/>
        </w:rPr>
      </w:pPr>
      <w:bookmarkStart w:id="0" w:name="DQC_RangeToBeChecked"/>
      <w:r w:rsidRPr="00F80FE8">
        <w:rPr>
          <w:b/>
          <w:u w:val="single"/>
        </w:rPr>
        <w:t>Format 2+2</w:t>
      </w:r>
    </w:p>
    <w:p w14:paraId="267A07A7" w14:textId="77777777" w:rsidR="003832D1" w:rsidRPr="00F80FE8" w:rsidRDefault="003832D1" w:rsidP="003832D1">
      <w:pPr>
        <w:spacing w:before="360"/>
        <w:jc w:val="center"/>
        <w:rPr>
          <w:b/>
          <w:bCs/>
          <w:u w:val="single"/>
        </w:rPr>
      </w:pPr>
      <w:r w:rsidRPr="00F80FE8">
        <w:rPr>
          <w:b/>
          <w:bCs/>
          <w:u w:val="single"/>
        </w:rPr>
        <w:t>Discussion items (II)</w:t>
      </w:r>
    </w:p>
    <w:p w14:paraId="3284475A" w14:textId="77777777" w:rsidR="003832D1" w:rsidRPr="00F80FE8" w:rsidRDefault="0027052E" w:rsidP="003832D1">
      <w:pPr>
        <w:pStyle w:val="TableTitle"/>
        <w:spacing w:before="480"/>
      </w:pPr>
      <w:r w:rsidRPr="001F11A4">
        <w:rPr>
          <w:bCs/>
        </w:rPr>
        <w:t>Competitiveness</w:t>
      </w:r>
    </w:p>
    <w:tbl>
      <w:tblPr>
        <w:tblStyle w:val="TableGrid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9"/>
      </w:tblGrid>
      <w:tr w:rsidR="003832D1" w:rsidRPr="00F80FE8" w14:paraId="2800E367" w14:textId="77777777" w:rsidTr="002F6671">
        <w:tc>
          <w:tcPr>
            <w:tcW w:w="9866" w:type="dxa"/>
            <w:gridSpan w:val="3"/>
            <w:tcMar>
              <w:top w:w="284" w:type="dxa"/>
            </w:tcMar>
          </w:tcPr>
          <w:p w14:paraId="17B2234C" w14:textId="77777777" w:rsidR="003832D1" w:rsidRPr="00DC0F68" w:rsidRDefault="00C5058D" w:rsidP="00DC0F68">
            <w:r>
              <w:t>Meeting of the Council (Competitiveness (</w:t>
            </w:r>
            <w:r w:rsidRPr="001F11A4">
              <w:rPr>
                <w:u w:val="single"/>
              </w:rPr>
              <w:t>Internal Market, Industry</w:t>
            </w:r>
            <w:r>
              <w:t xml:space="preserve">, </w:t>
            </w:r>
            <w:r w:rsidRPr="001F11A4">
              <w:rPr>
                <w:u w:val="single"/>
              </w:rPr>
              <w:t>Research</w:t>
            </w:r>
            <w:r>
              <w:t xml:space="preserve"> and </w:t>
            </w:r>
            <w:r w:rsidRPr="00EB2D3A">
              <w:rPr>
                <w:u w:val="single"/>
              </w:rPr>
              <w:t>Space</w:t>
            </w:r>
            <w:r>
              <w:t>)) on</w:t>
            </w:r>
            <w:r w:rsidR="001F11A4">
              <w:t> </w:t>
            </w:r>
            <w:r>
              <w:t>8</w:t>
            </w:r>
            <w:r w:rsidR="001F11A4">
              <w:t xml:space="preserve"> and 9 </w:t>
            </w:r>
            <w:r>
              <w:t>December 2025: Preparation</w:t>
            </w:r>
          </w:p>
        </w:tc>
      </w:tr>
      <w:tr w:rsidR="001F11A4" w:rsidRPr="00B676DE" w14:paraId="64E90D4F" w14:textId="77777777" w:rsidTr="002F6671">
        <w:tc>
          <w:tcPr>
            <w:tcW w:w="7030" w:type="dxa"/>
            <w:tcMar>
              <w:top w:w="284" w:type="dxa"/>
            </w:tcMar>
          </w:tcPr>
          <w:p w14:paraId="6D5B70ED" w14:textId="77777777" w:rsidR="006805B0" w:rsidRPr="001F11A4" w:rsidRDefault="001F11A4" w:rsidP="006805B0">
            <w:pPr>
              <w:ind w:left="601" w:hanging="601"/>
            </w:pPr>
            <w:r>
              <w:t>1.</w:t>
            </w:r>
            <w:r>
              <w:tab/>
            </w:r>
            <w:bookmarkStart w:id="1" w:name="_Hlk214451539"/>
            <w:r w:rsidR="006805B0">
              <w:t xml:space="preserve">Annual </w:t>
            </w:r>
            <w:r w:rsidR="006805B0" w:rsidRPr="001F11A4">
              <w:t xml:space="preserve">Overview Report on Simplification, Implementation and </w:t>
            </w:r>
            <w:r w:rsidR="006805B0" w:rsidRPr="00130465">
              <w:t>Enforcement</w:t>
            </w:r>
            <w:bookmarkEnd w:id="1"/>
            <w:r w:rsidR="006805B0" w:rsidRPr="00130465">
              <w:rPr>
                <w:lang w:val="en-US"/>
              </w:rPr>
              <w:t xml:space="preserve">– </w:t>
            </w:r>
            <w:r w:rsidR="006805B0" w:rsidRPr="008459A4">
              <w:rPr>
                <w:lang w:val="en-US"/>
              </w:rPr>
              <w:t>Sustaining the momentum to reduce burdens</w:t>
            </w:r>
          </w:p>
          <w:p w14:paraId="68081401" w14:textId="77777777" w:rsidR="006805B0" w:rsidRPr="001F11A4" w:rsidRDefault="006805B0" w:rsidP="006805B0">
            <w:pPr>
              <w:pStyle w:val="Text1"/>
              <w:rPr>
                <w:i/>
              </w:rPr>
            </w:pPr>
            <w:r w:rsidRPr="001E214E">
              <w:rPr>
                <w:rFonts w:asciiTheme="majorBidi" w:eastAsia="Times New Roman" w:hAnsiTheme="majorBidi" w:cstheme="majorBidi"/>
                <w:i/>
                <w:iCs/>
                <w:lang w:val="en-US"/>
              </w:rPr>
              <w:t xml:space="preserve">Presentation by the </w:t>
            </w:r>
            <w:r>
              <w:rPr>
                <w:rFonts w:asciiTheme="majorBidi" w:eastAsia="Times New Roman" w:hAnsiTheme="majorBidi" w:cstheme="majorBidi"/>
                <w:i/>
                <w:iCs/>
                <w:lang w:val="en-US"/>
              </w:rPr>
              <w:t xml:space="preserve">Presidency and the </w:t>
            </w:r>
            <w:r w:rsidRPr="001E214E">
              <w:rPr>
                <w:rFonts w:asciiTheme="majorBidi" w:eastAsia="Times New Roman" w:hAnsiTheme="majorBidi" w:cstheme="majorBidi"/>
                <w:i/>
                <w:iCs/>
                <w:lang w:val="en-US"/>
              </w:rPr>
              <w:t>Commission</w:t>
            </w:r>
          </w:p>
          <w:p w14:paraId="1447480B" w14:textId="44228FAD" w:rsidR="001F11A4" w:rsidRPr="00B676DE" w:rsidRDefault="006805B0" w:rsidP="006805B0">
            <w:pPr>
              <w:pStyle w:val="PointManual"/>
              <w:ind w:left="601" w:firstLine="0"/>
            </w:pPr>
            <w:r w:rsidRPr="001F11A4">
              <w:rPr>
                <w:i/>
              </w:rPr>
              <w:t>Exchange of views</w:t>
            </w:r>
            <w:r>
              <w:t xml:space="preserve"> 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0DA393AF" w14:textId="77777777" w:rsidR="001F11A4" w:rsidRDefault="001F11A4" w:rsidP="001F11A4">
            <w:pPr>
              <w:pStyle w:val="NormalRight"/>
              <w:rPr>
                <w:noProof/>
              </w:rPr>
            </w:pPr>
          </w:p>
        </w:tc>
        <w:tc>
          <w:tcPr>
            <w:tcW w:w="2099" w:type="dxa"/>
            <w:tcMar>
              <w:top w:w="284" w:type="dxa"/>
              <w:right w:w="0" w:type="dxa"/>
            </w:tcMar>
          </w:tcPr>
          <w:p w14:paraId="3E5AC5E0" w14:textId="77777777" w:rsidR="006805B0" w:rsidRPr="009620DC" w:rsidRDefault="006805B0" w:rsidP="006805B0">
            <w:r w:rsidRPr="009620DC">
              <w:t>15609/25</w:t>
            </w:r>
          </w:p>
          <w:p w14:paraId="3B65F073" w14:textId="77777777" w:rsidR="006805B0" w:rsidRPr="009620DC" w:rsidRDefault="006805B0" w:rsidP="006805B0">
            <w:r w:rsidRPr="009620DC">
              <w:t>14534/1/25 REV 1</w:t>
            </w:r>
          </w:p>
          <w:p w14:paraId="57655134" w14:textId="372496C6" w:rsidR="001F11A4" w:rsidRPr="00B676DE" w:rsidRDefault="001F11A4" w:rsidP="001F11A4"/>
        </w:tc>
      </w:tr>
      <w:tr w:rsidR="003B0003" w:rsidRPr="00B676DE" w14:paraId="7B9FB963" w14:textId="77777777" w:rsidTr="002F6671">
        <w:tc>
          <w:tcPr>
            <w:tcW w:w="7030" w:type="dxa"/>
            <w:tcMar>
              <w:top w:w="284" w:type="dxa"/>
            </w:tcMar>
          </w:tcPr>
          <w:p w14:paraId="75089BBB" w14:textId="77777777" w:rsidR="006805B0" w:rsidRDefault="003B0003" w:rsidP="006805B0">
            <w:pPr>
              <w:pStyle w:val="PointManual"/>
            </w:pPr>
            <w:r w:rsidRPr="009620DC">
              <w:t>2.</w:t>
            </w:r>
            <w:r w:rsidRPr="009620DC">
              <w:tab/>
            </w:r>
            <w:r w:rsidR="006805B0">
              <w:t>Removal of internal market barriers</w:t>
            </w:r>
          </w:p>
          <w:p w14:paraId="031F304B" w14:textId="1A121E56" w:rsidR="003B0003" w:rsidRPr="009620DC" w:rsidRDefault="006805B0" w:rsidP="006805B0">
            <w:pPr>
              <w:ind w:left="601"/>
              <w:rPr>
                <w:i/>
                <w:iCs/>
              </w:rPr>
            </w:pPr>
            <w:r w:rsidRPr="001F11A4">
              <w:rPr>
                <w:i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5E8C6298" w14:textId="77777777" w:rsidR="003B0003" w:rsidRPr="009620DC" w:rsidRDefault="003B0003" w:rsidP="003B0003">
            <w:pPr>
              <w:pStyle w:val="NormalRight"/>
              <w:rPr>
                <w:noProof/>
              </w:rPr>
            </w:pPr>
          </w:p>
        </w:tc>
        <w:tc>
          <w:tcPr>
            <w:tcW w:w="2099" w:type="dxa"/>
            <w:tcMar>
              <w:top w:w="284" w:type="dxa"/>
              <w:right w:w="0" w:type="dxa"/>
            </w:tcMar>
          </w:tcPr>
          <w:p w14:paraId="14DCF495" w14:textId="11B90C3D" w:rsidR="00DC0F68" w:rsidRPr="009620DC" w:rsidRDefault="006805B0" w:rsidP="006805B0">
            <w:r>
              <w:t>15650/25</w:t>
            </w:r>
          </w:p>
        </w:tc>
      </w:tr>
      <w:tr w:rsidR="00A00C05" w:rsidRPr="00B676DE" w14:paraId="20A65EB2" w14:textId="77777777" w:rsidTr="002F6671">
        <w:tc>
          <w:tcPr>
            <w:tcW w:w="7030" w:type="dxa"/>
            <w:tcMar>
              <w:top w:w="284" w:type="dxa"/>
            </w:tcMar>
          </w:tcPr>
          <w:p w14:paraId="3998132F" w14:textId="77777777" w:rsidR="005817DE" w:rsidRPr="009620DC" w:rsidRDefault="005817DE" w:rsidP="00EE1F50">
            <w:pPr>
              <w:pStyle w:val="ListParagraph"/>
              <w:spacing w:before="120"/>
              <w:ind w:left="589" w:hanging="589"/>
            </w:pPr>
            <w:r w:rsidRPr="009620DC">
              <w:rPr>
                <w:bCs/>
              </w:rPr>
              <w:t>3.</w:t>
            </w:r>
            <w:r w:rsidRPr="009620DC">
              <w:tab/>
            </w:r>
            <w:r w:rsidR="00EE1F50" w:rsidRPr="009620DC">
              <w:t>E-commerce: Challenges with product compliance and enforcement</w:t>
            </w:r>
          </w:p>
          <w:p w14:paraId="1A24D49C" w14:textId="77777777" w:rsidR="00A00C05" w:rsidRPr="009620DC" w:rsidRDefault="005817DE" w:rsidP="005817DE">
            <w:pPr>
              <w:ind w:left="601" w:hanging="12"/>
            </w:pPr>
            <w:r w:rsidRPr="009620DC">
              <w:rPr>
                <w:bCs/>
                <w:i/>
                <w:iCs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11FD12AE" w14:textId="77777777" w:rsidR="00A00C05" w:rsidRPr="009620DC" w:rsidRDefault="00A00C05" w:rsidP="003B0003">
            <w:pPr>
              <w:pStyle w:val="NormalRight"/>
              <w:rPr>
                <w:noProof/>
              </w:rPr>
            </w:pPr>
          </w:p>
        </w:tc>
        <w:tc>
          <w:tcPr>
            <w:tcW w:w="2099" w:type="dxa"/>
            <w:tcMar>
              <w:top w:w="284" w:type="dxa"/>
              <w:right w:w="0" w:type="dxa"/>
            </w:tcMar>
          </w:tcPr>
          <w:p w14:paraId="34C264EB" w14:textId="77777777" w:rsidR="00A00C05" w:rsidRPr="009620DC" w:rsidRDefault="00BF7358" w:rsidP="00C5058D">
            <w:r w:rsidRPr="009620DC">
              <w:t>15782/25</w:t>
            </w:r>
          </w:p>
        </w:tc>
      </w:tr>
    </w:tbl>
    <w:p w14:paraId="298B858B" w14:textId="77777777" w:rsidR="00933087" w:rsidRPr="00511CFE" w:rsidRDefault="00933087" w:rsidP="001F11A4">
      <w:pPr>
        <w:pStyle w:val="TableTitle"/>
        <w:pageBreakBefore/>
        <w:spacing w:before="480"/>
        <w:rPr>
          <w:lang w:val="fr-BE"/>
        </w:rPr>
      </w:pPr>
      <w:r w:rsidRPr="00511CFE">
        <w:rPr>
          <w:bCs/>
          <w:lang w:val="fr-BE"/>
        </w:rPr>
        <w:lastRenderedPageBreak/>
        <w:t xml:space="preserve">Internal Market and </w:t>
      </w:r>
      <w:proofErr w:type="spellStart"/>
      <w:r w:rsidRPr="00511CFE">
        <w:rPr>
          <w:bCs/>
          <w:lang w:val="fr-BE"/>
        </w:rPr>
        <w:t>Industry</w:t>
      </w:r>
      <w:proofErr w:type="spellEnd"/>
    </w:p>
    <w:tbl>
      <w:tblPr>
        <w:tblStyle w:val="TableGrid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9"/>
      </w:tblGrid>
      <w:tr w:rsidR="0048549C" w:rsidRPr="00B676DE" w14:paraId="574F7D15" w14:textId="77777777" w:rsidTr="00706428">
        <w:tc>
          <w:tcPr>
            <w:tcW w:w="7030" w:type="dxa"/>
            <w:tcMar>
              <w:top w:w="284" w:type="dxa"/>
            </w:tcMar>
          </w:tcPr>
          <w:p w14:paraId="688EE5C8" w14:textId="77777777" w:rsidR="0048549C" w:rsidRPr="00933087" w:rsidRDefault="0048549C" w:rsidP="0048549C">
            <w:r w:rsidRPr="00933087">
              <w:t>Directive amending Directive 2014/32/EU on measuring instruments</w:t>
            </w:r>
          </w:p>
          <w:p w14:paraId="4D122404" w14:textId="77777777" w:rsidR="0048549C" w:rsidRPr="00B676DE" w:rsidRDefault="0048549C" w:rsidP="0048549C">
            <w:r w:rsidRPr="00933087">
              <w:rPr>
                <w:i/>
              </w:rPr>
              <w:t>Analysis of the final compromise text with a view to agreement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4BFC78AE" w14:textId="77777777" w:rsidR="0048549C" w:rsidRDefault="0048549C" w:rsidP="00D66B1E">
            <w:pPr>
              <w:pStyle w:val="NormalRight"/>
            </w:pPr>
            <w:r w:rsidRPr="00933087">
              <w:rPr>
                <w:noProof/>
              </w:rPr>
              <w:drawing>
                <wp:inline distT="0" distB="0" distL="0" distR="0" wp14:anchorId="6BFE1F4E" wp14:editId="0F03D81E">
                  <wp:extent cx="172442" cy="172442"/>
                  <wp:effectExtent l="0" t="0" r="0" b="0"/>
                  <wp:docPr id="167963632" name="Picture 3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632914" name="Picture 3" descr="First read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33087">
              <w:rPr>
                <w:noProof/>
              </w:rPr>
              <w:drawing>
                <wp:inline distT="0" distB="0" distL="0" distR="0" wp14:anchorId="2186B637" wp14:editId="4809221D">
                  <wp:extent cx="172442" cy="172442"/>
                  <wp:effectExtent l="0" t="0" r="0" b="0"/>
                  <wp:docPr id="673676592" name="Picture 4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973033" name="Picture 4" descr="Item based on a Commission proposa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9" w:type="dxa"/>
            <w:tcMar>
              <w:top w:w="284" w:type="dxa"/>
              <w:right w:w="0" w:type="dxa"/>
            </w:tcMar>
          </w:tcPr>
          <w:p w14:paraId="2FAE9323" w14:textId="77777777" w:rsidR="0048549C" w:rsidRPr="00B676DE" w:rsidRDefault="0048549C" w:rsidP="0048549C">
            <w:r w:rsidRPr="00933087">
              <w:t>15599/25</w:t>
            </w:r>
          </w:p>
        </w:tc>
      </w:tr>
      <w:tr w:rsidR="0048549C" w:rsidRPr="009620DC" w14:paraId="7EF6B38D" w14:textId="77777777" w:rsidTr="00706428">
        <w:tc>
          <w:tcPr>
            <w:tcW w:w="7030" w:type="dxa"/>
            <w:tcMar>
              <w:top w:w="284" w:type="dxa"/>
            </w:tcMar>
          </w:tcPr>
          <w:p w14:paraId="1F7E6087" w14:textId="77777777" w:rsidR="0048549C" w:rsidRPr="009620DC" w:rsidRDefault="0048549C" w:rsidP="0048549C">
            <w:r w:rsidRPr="009620DC">
              <w:t>Package Travel Directive</w:t>
            </w:r>
          </w:p>
          <w:p w14:paraId="4E49E2F9" w14:textId="77777777" w:rsidR="0048549C" w:rsidRPr="009620DC" w:rsidRDefault="0048549C" w:rsidP="0048549C">
            <w:r w:rsidRPr="009620DC">
              <w:rPr>
                <w:i/>
              </w:rPr>
              <w:t>Preparation for the trilogue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039552B0" w14:textId="77777777" w:rsidR="0048549C" w:rsidRPr="009620DC" w:rsidRDefault="0048549C" w:rsidP="00D66B1E">
            <w:pPr>
              <w:pStyle w:val="NormalRight"/>
            </w:pPr>
            <w:r w:rsidRPr="009620DC">
              <w:rPr>
                <w:noProof/>
              </w:rPr>
              <w:drawing>
                <wp:inline distT="0" distB="0" distL="0" distR="0" wp14:anchorId="216E8CFA" wp14:editId="29230F84">
                  <wp:extent cx="172442" cy="172442"/>
                  <wp:effectExtent l="0" t="0" r="0" b="0"/>
                  <wp:docPr id="518538901" name="Picture 10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538901" name="Picture 10" descr="First read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620DC">
              <w:rPr>
                <w:noProof/>
              </w:rPr>
              <w:drawing>
                <wp:inline distT="0" distB="0" distL="0" distR="0" wp14:anchorId="4116F360" wp14:editId="28837B19">
                  <wp:extent cx="172442" cy="172442"/>
                  <wp:effectExtent l="0" t="0" r="0" b="0"/>
                  <wp:docPr id="154524394" name="Picture 11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24394" name="Picture 11" descr="Item based on a Commission proposa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9" w:type="dxa"/>
            <w:tcMar>
              <w:top w:w="284" w:type="dxa"/>
              <w:right w:w="0" w:type="dxa"/>
            </w:tcMar>
          </w:tcPr>
          <w:p w14:paraId="1291D074" w14:textId="77777777" w:rsidR="0048549C" w:rsidRPr="009620DC" w:rsidRDefault="0048549C" w:rsidP="0048549C">
            <w:r w:rsidRPr="009620DC">
              <w:t>14987/25</w:t>
            </w:r>
          </w:p>
        </w:tc>
      </w:tr>
    </w:tbl>
    <w:p w14:paraId="59531804" w14:textId="77777777" w:rsidR="00EE1F50" w:rsidRPr="009620DC" w:rsidRDefault="00EE1F50" w:rsidP="00EE1F50">
      <w:pPr>
        <w:pStyle w:val="TableTitle"/>
        <w:spacing w:before="480"/>
        <w:rPr>
          <w:bCs/>
        </w:rPr>
      </w:pPr>
      <w:r w:rsidRPr="009620DC">
        <w:rPr>
          <w:bCs/>
        </w:rPr>
        <w:t>Employment, Social Policy, Health and Consumer Affairs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EE1F50" w:rsidRPr="009620DC" w14:paraId="510E2D66" w14:textId="77777777" w:rsidTr="00EE1F50">
        <w:tc>
          <w:tcPr>
            <w:tcW w:w="9923" w:type="dxa"/>
            <w:tcMar>
              <w:top w:w="170" w:type="dxa"/>
              <w:left w:w="113" w:type="dxa"/>
              <w:bottom w:w="0" w:type="dxa"/>
              <w:right w:w="0" w:type="dxa"/>
            </w:tcMar>
            <w:hideMark/>
          </w:tcPr>
          <w:p w14:paraId="63CD2B97" w14:textId="77777777" w:rsidR="00EE1F50" w:rsidRPr="009620DC" w:rsidRDefault="00EE1F50" w:rsidP="00EE1F50">
            <w:pPr>
              <w:pStyle w:val="TableTitle"/>
              <w:spacing w:before="0"/>
              <w:rPr>
                <w:b w:val="0"/>
                <w:bCs/>
                <w:u w:val="none"/>
              </w:rPr>
            </w:pPr>
            <w:r w:rsidRPr="009620DC">
              <w:rPr>
                <w:b w:val="0"/>
                <w:bCs/>
                <w:u w:val="none"/>
              </w:rPr>
              <w:t>Meeting of the Council (Employment, Social Policy, Health and Consumer Affairs) on 1 and 2 December: preparation</w:t>
            </w:r>
          </w:p>
        </w:tc>
      </w:tr>
    </w:tbl>
    <w:p w14:paraId="27F09153" w14:textId="77777777" w:rsidR="00C65166" w:rsidRPr="009620DC" w:rsidRDefault="00C65166" w:rsidP="00C65166">
      <w:pPr>
        <w:pStyle w:val="TableTitle"/>
        <w:spacing w:before="480"/>
      </w:pPr>
      <w:r w:rsidRPr="009620DC">
        <w:t>Transport, Telecommunications and Energy</w:t>
      </w:r>
    </w:p>
    <w:tbl>
      <w:tblPr>
        <w:tblStyle w:val="TableGrid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1"/>
        <w:gridCol w:w="737"/>
        <w:gridCol w:w="2102"/>
      </w:tblGrid>
      <w:tr w:rsidR="00894FAC" w:rsidRPr="009620DC" w14:paraId="58A33167" w14:textId="77777777" w:rsidTr="00933087">
        <w:tc>
          <w:tcPr>
            <w:tcW w:w="9870" w:type="dxa"/>
            <w:gridSpan w:val="3"/>
            <w:tcMar>
              <w:top w:w="170" w:type="dxa"/>
              <w:left w:w="113" w:type="dxa"/>
              <w:bottom w:w="0" w:type="dxa"/>
              <w:right w:w="0" w:type="dxa"/>
            </w:tcMar>
            <w:hideMark/>
          </w:tcPr>
          <w:p w14:paraId="5303ECE0" w14:textId="77777777" w:rsidR="00894FAC" w:rsidRPr="009620DC" w:rsidRDefault="00894FAC" w:rsidP="00894FAC">
            <w:r w:rsidRPr="009620DC">
              <w:t xml:space="preserve">Meeting of the Council (Transport, Telecommunications and </w:t>
            </w:r>
            <w:r w:rsidRPr="009620DC">
              <w:rPr>
                <w:u w:val="single"/>
              </w:rPr>
              <w:t>Energy</w:t>
            </w:r>
            <w:r w:rsidRPr="009620DC">
              <w:t>) on 15 December 2025: agenda</w:t>
            </w:r>
          </w:p>
        </w:tc>
      </w:tr>
      <w:tr w:rsidR="00894FAC" w:rsidRPr="007A2EFF" w14:paraId="4C533330" w14:textId="77777777" w:rsidTr="00933087">
        <w:tc>
          <w:tcPr>
            <w:tcW w:w="9870" w:type="dxa"/>
            <w:gridSpan w:val="3"/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07AB2911" w14:textId="77777777" w:rsidR="00894FAC" w:rsidRPr="00584908" w:rsidRDefault="00894FAC" w:rsidP="00894FAC">
            <w:r w:rsidRPr="009620DC">
              <w:t>Meeting of the Council (</w:t>
            </w:r>
            <w:r w:rsidRPr="009620DC">
              <w:rPr>
                <w:u w:val="single"/>
              </w:rPr>
              <w:t>Transport,</w:t>
            </w:r>
            <w:r w:rsidRPr="009620DC">
              <w:t xml:space="preserve"> </w:t>
            </w:r>
            <w:r w:rsidRPr="009620DC">
              <w:rPr>
                <w:u w:val="single"/>
              </w:rPr>
              <w:t>Telecommunications</w:t>
            </w:r>
            <w:r w:rsidRPr="009620DC">
              <w:t xml:space="preserve"> and Energy) on 4 and 5 December 2025: preparation</w:t>
            </w:r>
          </w:p>
        </w:tc>
      </w:tr>
      <w:tr w:rsidR="00894FAC" w:rsidRPr="007A2EFF" w14:paraId="43403B76" w14:textId="77777777" w:rsidTr="00933087">
        <w:tc>
          <w:tcPr>
            <w:tcW w:w="7031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2EDF9341" w14:textId="77777777" w:rsidR="00894FAC" w:rsidRPr="007A2EFF" w:rsidRDefault="00894FAC" w:rsidP="00894FAC">
            <w:pPr>
              <w:pStyle w:val="PointManual"/>
            </w:pPr>
            <w:r>
              <w:t>1</w:t>
            </w:r>
            <w:r w:rsidRPr="007A2EFF">
              <w:t>.</w:t>
            </w:r>
            <w:r w:rsidRPr="007A2EFF">
              <w:tab/>
              <w:t>Conclusions on European Competitiveness in the Digital Decade</w:t>
            </w:r>
          </w:p>
          <w:p w14:paraId="5220DDC8" w14:textId="77777777" w:rsidR="00894FAC" w:rsidRPr="007A2EFF" w:rsidRDefault="00894FAC" w:rsidP="00894FAC">
            <w:pPr>
              <w:pStyle w:val="Text1"/>
            </w:pPr>
            <w:r w:rsidRPr="007A2EFF">
              <w:rPr>
                <w:i/>
              </w:rPr>
              <w:t>Approval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1E93233" w14:textId="77777777" w:rsidR="00894FAC" w:rsidRPr="007A2EFF" w:rsidRDefault="00894FAC" w:rsidP="00894FAC">
            <w:pPr>
              <w:pStyle w:val="NormalRight"/>
            </w:pPr>
          </w:p>
        </w:tc>
        <w:tc>
          <w:tcPr>
            <w:tcW w:w="2102" w:type="dxa"/>
            <w:tcMar>
              <w:top w:w="284" w:type="dxa"/>
              <w:left w:w="113" w:type="dxa"/>
              <w:bottom w:w="0" w:type="dxa"/>
              <w:right w:w="0" w:type="dxa"/>
            </w:tcMar>
            <w:hideMark/>
          </w:tcPr>
          <w:p w14:paraId="7A37A19F" w14:textId="77777777" w:rsidR="00894FAC" w:rsidRPr="007A2EFF" w:rsidRDefault="00894FAC" w:rsidP="00894FAC">
            <w:r w:rsidRPr="007A2EFF">
              <w:t>15143/25</w:t>
            </w:r>
          </w:p>
        </w:tc>
      </w:tr>
      <w:tr w:rsidR="00894FAC" w14:paraId="6F994B86" w14:textId="77777777" w:rsidTr="00933087">
        <w:tc>
          <w:tcPr>
            <w:tcW w:w="7031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1235EA86" w14:textId="77777777" w:rsidR="00894FAC" w:rsidRPr="00984235" w:rsidRDefault="00894FAC" w:rsidP="00894FAC">
            <w:pPr>
              <w:pStyle w:val="PointManual"/>
            </w:pPr>
            <w:r w:rsidRPr="00984235">
              <w:t>2.</w:t>
            </w:r>
            <w:r w:rsidRPr="00984235">
              <w:tab/>
              <w:t>Simplification and digitalisation: Reducing burdens for businesses in the digital domain</w:t>
            </w:r>
          </w:p>
          <w:p w14:paraId="3972C330" w14:textId="77777777" w:rsidR="00894FAC" w:rsidRPr="00984235" w:rsidRDefault="00894FAC" w:rsidP="00894FAC">
            <w:pPr>
              <w:pStyle w:val="Text1"/>
            </w:pPr>
            <w:r w:rsidRPr="00984235">
              <w:rPr>
                <w:i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2B6DE3C" w14:textId="77777777" w:rsidR="00894FAC" w:rsidRPr="00984235" w:rsidRDefault="00894FAC" w:rsidP="00894FAC">
            <w:pPr>
              <w:pStyle w:val="NormalRight"/>
            </w:pPr>
          </w:p>
        </w:tc>
        <w:tc>
          <w:tcPr>
            <w:tcW w:w="2102" w:type="dxa"/>
            <w:tcMar>
              <w:top w:w="284" w:type="dxa"/>
              <w:left w:w="113" w:type="dxa"/>
              <w:bottom w:w="0" w:type="dxa"/>
              <w:right w:w="0" w:type="dxa"/>
            </w:tcMar>
            <w:hideMark/>
          </w:tcPr>
          <w:p w14:paraId="3C785673" w14:textId="77777777" w:rsidR="00894FAC" w:rsidRPr="00984235" w:rsidRDefault="00894FAC" w:rsidP="00894FAC">
            <w:r w:rsidRPr="00984235">
              <w:t>15145/25</w:t>
            </w:r>
          </w:p>
        </w:tc>
      </w:tr>
      <w:tr w:rsidR="00554B9E" w:rsidRPr="00554B9E" w14:paraId="2624C2F2" w14:textId="77777777" w:rsidTr="00933087">
        <w:tc>
          <w:tcPr>
            <w:tcW w:w="7031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66F34B0A" w14:textId="77777777" w:rsidR="00554B9E" w:rsidRPr="00984235" w:rsidRDefault="00554B9E" w:rsidP="00554B9E">
            <w:pPr>
              <w:pStyle w:val="PointManual"/>
            </w:pPr>
            <w:r w:rsidRPr="00984235">
              <w:t>3.</w:t>
            </w:r>
            <w:r w:rsidRPr="00984235">
              <w:tab/>
              <w:t>Enforcement of the Digital Services Act on online platforms and e-commerce</w:t>
            </w:r>
          </w:p>
          <w:p w14:paraId="1E92A61C" w14:textId="77777777" w:rsidR="00554B9E" w:rsidRPr="00984235" w:rsidRDefault="00554B9E" w:rsidP="00554B9E">
            <w:pPr>
              <w:pStyle w:val="Text1"/>
            </w:pPr>
            <w:r w:rsidRPr="00984235">
              <w:rPr>
                <w:i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AFB5417" w14:textId="77777777" w:rsidR="00554B9E" w:rsidRPr="00984235" w:rsidRDefault="00554B9E" w:rsidP="00554B9E">
            <w:pPr>
              <w:pStyle w:val="NormalRight"/>
            </w:pPr>
          </w:p>
        </w:tc>
        <w:tc>
          <w:tcPr>
            <w:tcW w:w="2102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6D5E0FB" w14:textId="77777777" w:rsidR="00554B9E" w:rsidRPr="00984235" w:rsidRDefault="00554B9E" w:rsidP="00554B9E">
            <w:r w:rsidRPr="00984235">
              <w:t>15594/25</w:t>
            </w:r>
          </w:p>
        </w:tc>
      </w:tr>
    </w:tbl>
    <w:p w14:paraId="6B577582" w14:textId="77777777" w:rsidR="0048549C" w:rsidRPr="00F80FE8" w:rsidRDefault="0048549C" w:rsidP="0048549C">
      <w:pPr>
        <w:pStyle w:val="TableTitle"/>
        <w:spacing w:before="480"/>
      </w:pPr>
      <w:r>
        <w:t>Transport</w:t>
      </w:r>
    </w:p>
    <w:tbl>
      <w:tblPr>
        <w:tblStyle w:val="TableGrid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9"/>
      </w:tblGrid>
      <w:tr w:rsidR="0048549C" w:rsidRPr="00B676DE" w14:paraId="7BD20EA3" w14:textId="77777777" w:rsidTr="00706428">
        <w:tc>
          <w:tcPr>
            <w:tcW w:w="7030" w:type="dxa"/>
            <w:tcMar>
              <w:top w:w="284" w:type="dxa"/>
            </w:tcMar>
          </w:tcPr>
          <w:p w14:paraId="1543F3E4" w14:textId="77777777" w:rsidR="0048549C" w:rsidRPr="00FD4B37" w:rsidRDefault="0048549C" w:rsidP="0048549C">
            <w:r w:rsidRPr="00FD4B37">
              <w:t>Regulation on air passenger rights</w:t>
            </w:r>
          </w:p>
          <w:p w14:paraId="6AF02873" w14:textId="77777777" w:rsidR="0048549C" w:rsidRPr="00B676DE" w:rsidRDefault="0048549C" w:rsidP="0048549C">
            <w:r w:rsidRPr="00FD4B37">
              <w:rPr>
                <w:i/>
              </w:rPr>
              <w:t>Preparation for the trilogue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1A4CAD94" w14:textId="77777777" w:rsidR="0048549C" w:rsidRPr="00D66B1E" w:rsidRDefault="006767F2" w:rsidP="00D66B1E">
            <w:pPr>
              <w:pStyle w:val="NormalRight"/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57164406" wp14:editId="0C3C8122">
                  <wp:extent cx="172085" cy="172085"/>
                  <wp:effectExtent l="0" t="0" r="0" b="0"/>
                  <wp:docPr id="439877670" name="Picture 1" descr="Second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877670" name="Picture 1" descr="Second readi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8549C">
              <w:rPr>
                <w:noProof/>
              </w:rPr>
              <w:drawing>
                <wp:inline distT="0" distB="0" distL="0" distR="0" wp14:anchorId="0832BEDC" wp14:editId="1DD0B8AB">
                  <wp:extent cx="172442" cy="172442"/>
                  <wp:effectExtent l="0" t="0" r="0" b="0"/>
                  <wp:docPr id="2137956767" name="Picture 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082420" name="Picture 2" descr="Item based on a Commission proposa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9" w:type="dxa"/>
            <w:tcMar>
              <w:top w:w="284" w:type="dxa"/>
              <w:right w:w="0" w:type="dxa"/>
            </w:tcMar>
          </w:tcPr>
          <w:p w14:paraId="0AABCC87" w14:textId="77777777" w:rsidR="0048549C" w:rsidRPr="00B676DE" w:rsidRDefault="0048549C" w:rsidP="0048549C">
            <w:pPr>
              <w:rPr>
                <w:highlight w:val="yellow"/>
              </w:rPr>
            </w:pPr>
            <w:r w:rsidRPr="00FD4B37">
              <w:t>15489/25 + ADD 1</w:t>
            </w:r>
          </w:p>
        </w:tc>
      </w:tr>
      <w:tr w:rsidR="0048549C" w:rsidRPr="00B676DE" w14:paraId="3B340E44" w14:textId="77777777" w:rsidTr="00706428">
        <w:tc>
          <w:tcPr>
            <w:tcW w:w="7030" w:type="dxa"/>
            <w:tcMar>
              <w:top w:w="284" w:type="dxa"/>
            </w:tcMar>
          </w:tcPr>
          <w:p w14:paraId="44887AE0" w14:textId="77777777" w:rsidR="0048549C" w:rsidRPr="0059449E" w:rsidRDefault="0048549C" w:rsidP="0048549C">
            <w:r w:rsidRPr="0059449E">
              <w:t>Regulation on the accounting of greenhouse gas emissions of transport services</w:t>
            </w:r>
          </w:p>
          <w:p w14:paraId="42DEC05C" w14:textId="77777777" w:rsidR="0048549C" w:rsidRPr="00B676DE" w:rsidRDefault="0048549C" w:rsidP="0048549C">
            <w:r w:rsidRPr="0059449E">
              <w:rPr>
                <w:i/>
              </w:rPr>
              <w:t>Analysis of the final compromise text with a view to agreement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76867338" w14:textId="77777777" w:rsidR="0048549C" w:rsidRPr="00B676DE" w:rsidRDefault="0048549C" w:rsidP="00D66B1E">
            <w:pPr>
              <w:pStyle w:val="NormalRight"/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6B493B2E" wp14:editId="7370435A">
                  <wp:extent cx="172442" cy="172442"/>
                  <wp:effectExtent l="0" t="0" r="0" b="0"/>
                  <wp:docPr id="1803030702" name="Picture 3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732747" name="Picture 3" descr="First read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4D4C669" wp14:editId="61CC8794">
                  <wp:extent cx="172442" cy="172442"/>
                  <wp:effectExtent l="0" t="0" r="0" b="0"/>
                  <wp:docPr id="791739544" name="Picture 4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026970" name="Picture 4" descr="Item based on a Commission proposa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9" w:type="dxa"/>
            <w:tcMar>
              <w:top w:w="284" w:type="dxa"/>
              <w:right w:w="0" w:type="dxa"/>
            </w:tcMar>
          </w:tcPr>
          <w:p w14:paraId="1EFF1778" w14:textId="77777777" w:rsidR="0048549C" w:rsidRPr="00B676DE" w:rsidRDefault="0048549C" w:rsidP="0048549C">
            <w:pPr>
              <w:rPr>
                <w:highlight w:val="yellow"/>
              </w:rPr>
            </w:pPr>
            <w:r w:rsidRPr="0059449E">
              <w:t>15412/25 + ADD 1</w:t>
            </w:r>
          </w:p>
        </w:tc>
      </w:tr>
    </w:tbl>
    <w:p w14:paraId="57141EF8" w14:textId="77777777" w:rsidR="00C06A70" w:rsidRPr="00F80FE8" w:rsidRDefault="00C06A70" w:rsidP="00C06A70">
      <w:pPr>
        <w:pStyle w:val="TableTitle"/>
        <w:spacing w:before="480"/>
      </w:pPr>
      <w:r>
        <w:t>Agriculture</w:t>
      </w:r>
    </w:p>
    <w:tbl>
      <w:tblPr>
        <w:tblStyle w:val="TableGrid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9"/>
      </w:tblGrid>
      <w:tr w:rsidR="00933087" w:rsidRPr="00B676DE" w14:paraId="3BFAACA7" w14:textId="77777777" w:rsidTr="00CC002D">
        <w:tc>
          <w:tcPr>
            <w:tcW w:w="7030" w:type="dxa"/>
            <w:tcMar>
              <w:top w:w="284" w:type="dxa"/>
            </w:tcMar>
          </w:tcPr>
          <w:p w14:paraId="39F4E8E2" w14:textId="77777777" w:rsidR="00933087" w:rsidRPr="00B676DE" w:rsidRDefault="00933087" w:rsidP="00933087">
            <w:r w:rsidRPr="00B676DE">
              <w:t>Regulation on the welfare of dogs and cats</w:t>
            </w:r>
          </w:p>
          <w:p w14:paraId="03970950" w14:textId="77777777" w:rsidR="00933087" w:rsidRPr="00B676DE" w:rsidRDefault="00933087" w:rsidP="00933087">
            <w:r w:rsidRPr="00B676DE">
              <w:rPr>
                <w:i/>
              </w:rPr>
              <w:t>Presidency debriefing on the outcome of the trilogue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544CE20E" w14:textId="77777777" w:rsidR="00933087" w:rsidRPr="00B676DE" w:rsidRDefault="00933087" w:rsidP="00D66B1E">
            <w:pPr>
              <w:pStyle w:val="NormalRight"/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7E7A2602" wp14:editId="2F11147D">
                  <wp:extent cx="172442" cy="172442"/>
                  <wp:effectExtent l="0" t="0" r="0" b="0"/>
                  <wp:docPr id="1804514554" name="Picture 6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514554" name="Picture 6" descr="First read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D4BB955" wp14:editId="1D11B504">
                  <wp:extent cx="172442" cy="172442"/>
                  <wp:effectExtent l="0" t="0" r="0" b="0"/>
                  <wp:docPr id="276848540" name="Picture 7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848540" name="Picture 7" descr="Item based on a Commission proposa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9" w:type="dxa"/>
            <w:tcMar>
              <w:top w:w="284" w:type="dxa"/>
              <w:right w:w="0" w:type="dxa"/>
            </w:tcMar>
          </w:tcPr>
          <w:p w14:paraId="2489226E" w14:textId="77777777" w:rsidR="00933087" w:rsidRPr="00B676DE" w:rsidRDefault="00933087" w:rsidP="00933087">
            <w:pPr>
              <w:rPr>
                <w:highlight w:val="yellow"/>
              </w:rPr>
            </w:pPr>
          </w:p>
        </w:tc>
      </w:tr>
    </w:tbl>
    <w:p w14:paraId="1ABE6294" w14:textId="77777777" w:rsidR="00BB562F" w:rsidRPr="00F80FE8" w:rsidRDefault="00BB562F" w:rsidP="00C5058D">
      <w:pPr>
        <w:pStyle w:val="TableTitle"/>
        <w:pageBreakBefore/>
        <w:spacing w:before="480"/>
      </w:pPr>
      <w:r w:rsidRPr="001B447E">
        <w:lastRenderedPageBreak/>
        <w:t>Environment</w:t>
      </w:r>
    </w:p>
    <w:tbl>
      <w:tblPr>
        <w:tblStyle w:val="TableGrid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9"/>
      </w:tblGrid>
      <w:tr w:rsidR="00BB562F" w:rsidRPr="00F80FE8" w14:paraId="52DCAA16" w14:textId="77777777" w:rsidTr="00975F37">
        <w:tc>
          <w:tcPr>
            <w:tcW w:w="9866" w:type="dxa"/>
            <w:gridSpan w:val="3"/>
            <w:tcMar>
              <w:top w:w="284" w:type="dxa"/>
            </w:tcMar>
          </w:tcPr>
          <w:p w14:paraId="14D88E6D" w14:textId="77777777" w:rsidR="00BB562F" w:rsidRPr="00BB562F" w:rsidRDefault="00BB562F" w:rsidP="00BB562F">
            <w:pPr>
              <w:rPr>
                <w:b/>
                <w:bCs/>
                <w:highlight w:val="yellow"/>
              </w:rPr>
            </w:pPr>
            <w:r w:rsidRPr="00C5058D">
              <w:t>Meeting of the Council (Environment) on 16 December 2025: agenda</w:t>
            </w:r>
          </w:p>
        </w:tc>
      </w:tr>
      <w:tr w:rsidR="00C5058D" w:rsidRPr="00C5058D" w14:paraId="1D0F98D8" w14:textId="77777777" w:rsidTr="00975F37">
        <w:tc>
          <w:tcPr>
            <w:tcW w:w="7030" w:type="dxa"/>
            <w:tcMar>
              <w:top w:w="284" w:type="dxa"/>
            </w:tcMar>
          </w:tcPr>
          <w:p w14:paraId="7675FA8F" w14:textId="77777777" w:rsidR="00C5058D" w:rsidRPr="00C5058D" w:rsidRDefault="00C5058D" w:rsidP="00C5058D">
            <w:r w:rsidRPr="00C5058D">
              <w:t>Regulation on circularity requirements for vehicle design and on</w:t>
            </w:r>
            <w:r w:rsidR="00B5101F">
              <w:t> </w:t>
            </w:r>
            <w:r w:rsidRPr="00C5058D">
              <w:t>management of end-of-life vehicles</w:t>
            </w:r>
          </w:p>
          <w:p w14:paraId="271A47B9" w14:textId="77777777" w:rsidR="00C5058D" w:rsidRPr="00C5058D" w:rsidRDefault="00C5058D" w:rsidP="00C5058D">
            <w:r w:rsidRPr="00C5058D">
              <w:rPr>
                <w:i/>
              </w:rPr>
              <w:t>Presidency debriefing on the outcome of the trilogue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363E3CC7" w14:textId="77777777" w:rsidR="00C5058D" w:rsidRPr="00C5058D" w:rsidRDefault="00C5058D" w:rsidP="00D66B1E">
            <w:pPr>
              <w:pStyle w:val="NormalRight"/>
            </w:pPr>
            <w:r w:rsidRPr="00C5058D">
              <w:rPr>
                <w:noProof/>
              </w:rPr>
              <w:drawing>
                <wp:inline distT="0" distB="0" distL="0" distR="0" wp14:anchorId="4B5A2AB3" wp14:editId="5D250378">
                  <wp:extent cx="172442" cy="172442"/>
                  <wp:effectExtent l="0" t="0" r="0" b="0"/>
                  <wp:docPr id="2036959676" name="Picture 5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959676" name="Picture 5" descr="First read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5058D">
              <w:rPr>
                <w:noProof/>
              </w:rPr>
              <w:drawing>
                <wp:inline distT="0" distB="0" distL="0" distR="0" wp14:anchorId="700308C1" wp14:editId="3F73BF1C">
                  <wp:extent cx="172442" cy="172442"/>
                  <wp:effectExtent l="0" t="0" r="0" b="0"/>
                  <wp:docPr id="389824605" name="Picture 6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824605" name="Picture 6" descr="Item based on a Commission proposa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9" w:type="dxa"/>
            <w:tcMar>
              <w:top w:w="284" w:type="dxa"/>
              <w:right w:w="0" w:type="dxa"/>
            </w:tcMar>
          </w:tcPr>
          <w:p w14:paraId="0CAE7D75" w14:textId="77777777" w:rsidR="00C5058D" w:rsidRPr="00C5058D" w:rsidRDefault="00C5058D" w:rsidP="00C5058D"/>
        </w:tc>
      </w:tr>
    </w:tbl>
    <w:p w14:paraId="7A6757CE" w14:textId="77777777" w:rsidR="00C06A70" w:rsidRPr="00F80FE8" w:rsidRDefault="004A4D19" w:rsidP="00C5058D">
      <w:pPr>
        <w:pStyle w:val="TableTitle"/>
        <w:spacing w:before="480"/>
      </w:pPr>
      <w:r w:rsidRPr="004A4D19">
        <w:rPr>
          <w:bCs/>
        </w:rPr>
        <w:t>Energy</w:t>
      </w:r>
    </w:p>
    <w:tbl>
      <w:tblPr>
        <w:tblStyle w:val="TableGrid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9"/>
      </w:tblGrid>
      <w:tr w:rsidR="00D7731A" w:rsidRPr="00984235" w14:paraId="12F7CBF1" w14:textId="77777777" w:rsidTr="004230B8">
        <w:tc>
          <w:tcPr>
            <w:tcW w:w="7030" w:type="dxa"/>
            <w:tcMar>
              <w:top w:w="284" w:type="dxa"/>
            </w:tcMar>
          </w:tcPr>
          <w:p w14:paraId="69A062A9" w14:textId="77777777" w:rsidR="00D7731A" w:rsidRPr="00984235" w:rsidRDefault="00D7731A" w:rsidP="00D7731A">
            <w:r w:rsidRPr="00984235">
              <w:t>Regulation on phasing out Russian natural gas imports, improving monitoring of potential energy dependencies and amending Regulation (EU) 2017/1938</w:t>
            </w:r>
          </w:p>
          <w:p w14:paraId="48F5CBBB" w14:textId="77777777" w:rsidR="00D7731A" w:rsidRPr="00984235" w:rsidRDefault="00D7731A" w:rsidP="00D7731A">
            <w:r w:rsidRPr="00984235">
              <w:rPr>
                <w:i/>
              </w:rPr>
              <w:t>Preparation for the trilogue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189592B6" w14:textId="77777777" w:rsidR="00D7731A" w:rsidRPr="00984235" w:rsidRDefault="00D7731A" w:rsidP="00D7731A">
            <w:pPr>
              <w:pStyle w:val="NormalRight"/>
            </w:pPr>
            <w:r w:rsidRPr="00984235">
              <w:rPr>
                <w:noProof/>
              </w:rPr>
              <w:drawing>
                <wp:inline distT="0" distB="0" distL="0" distR="0" wp14:anchorId="56777DB2" wp14:editId="411DFE6A">
                  <wp:extent cx="172442" cy="172442"/>
                  <wp:effectExtent l="0" t="0" r="0" b="0"/>
                  <wp:docPr id="917592071" name="Picture 1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592071" name="Picture 1" descr="First read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84235">
              <w:rPr>
                <w:noProof/>
              </w:rPr>
              <w:drawing>
                <wp:inline distT="0" distB="0" distL="0" distR="0" wp14:anchorId="36B5FFCD" wp14:editId="7F232666">
                  <wp:extent cx="172442" cy="172442"/>
                  <wp:effectExtent l="0" t="0" r="0" b="0"/>
                  <wp:docPr id="105608519" name="Picture 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08519" name="Picture 2" descr="Item based on a Commission proposa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9" w:type="dxa"/>
            <w:tcMar>
              <w:top w:w="284" w:type="dxa"/>
              <w:right w:w="0" w:type="dxa"/>
            </w:tcMar>
          </w:tcPr>
          <w:p w14:paraId="3D2A186C" w14:textId="77777777" w:rsidR="00D7731A" w:rsidRPr="00984235" w:rsidRDefault="00D7731A" w:rsidP="00D7731A">
            <w:r w:rsidRPr="00984235">
              <w:t>15764/25</w:t>
            </w:r>
          </w:p>
        </w:tc>
      </w:tr>
    </w:tbl>
    <w:p w14:paraId="05F525F1" w14:textId="77777777" w:rsidR="0001163A" w:rsidRPr="00984235" w:rsidRDefault="00B676DE" w:rsidP="0001163A">
      <w:pPr>
        <w:spacing w:before="480"/>
        <w:rPr>
          <w:b/>
          <w:bCs/>
          <w:u w:val="single"/>
        </w:rPr>
      </w:pPr>
      <w:r w:rsidRPr="00984235">
        <w:rPr>
          <w:b/>
          <w:bCs/>
          <w:u w:val="single"/>
        </w:rPr>
        <w:t>Any other business</w:t>
      </w:r>
    </w:p>
    <w:tbl>
      <w:tblPr>
        <w:tblStyle w:val="TableGrid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9"/>
      </w:tblGrid>
      <w:tr w:rsidR="0001163A" w:rsidRPr="00B676DE" w14:paraId="7538E133" w14:textId="77777777" w:rsidTr="000E4667">
        <w:tc>
          <w:tcPr>
            <w:tcW w:w="7030" w:type="dxa"/>
            <w:tcMar>
              <w:top w:w="284" w:type="dxa"/>
            </w:tcMar>
          </w:tcPr>
          <w:p w14:paraId="28BD4660" w14:textId="77777777" w:rsidR="0001163A" w:rsidRPr="00984235" w:rsidRDefault="00421DAC" w:rsidP="00421DAC">
            <w:r w:rsidRPr="00984235">
              <w:t>Regulation on plants obtained by certain new genomic techniques and their food and feed products – State of play of interinstitutional negotiations</w:t>
            </w:r>
          </w:p>
          <w:p w14:paraId="004190B8" w14:textId="77777777" w:rsidR="0001163A" w:rsidRPr="00984235" w:rsidRDefault="0001163A" w:rsidP="000E4667">
            <w:r w:rsidRPr="00984235">
              <w:rPr>
                <w:i/>
              </w:rPr>
              <w:t xml:space="preserve">Information from the </w:t>
            </w:r>
            <w:r w:rsidR="00FE43CE" w:rsidRPr="00984235">
              <w:rPr>
                <w:i/>
              </w:rPr>
              <w:t>P</w:t>
            </w:r>
            <w:r w:rsidRPr="00984235">
              <w:rPr>
                <w:i/>
              </w:rPr>
              <w:t>residency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6E598D07" w14:textId="77777777" w:rsidR="0001163A" w:rsidRPr="00984235" w:rsidRDefault="0001163A" w:rsidP="000E4667">
            <w:pPr>
              <w:pStyle w:val="NormalRight"/>
            </w:pPr>
            <w:r w:rsidRPr="00984235">
              <w:rPr>
                <w:noProof/>
              </w:rPr>
              <w:drawing>
                <wp:inline distT="0" distB="0" distL="0" distR="0" wp14:anchorId="02850979" wp14:editId="44C92885">
                  <wp:extent cx="172442" cy="172442"/>
                  <wp:effectExtent l="0" t="0" r="0" b="0"/>
                  <wp:docPr id="70672690" name="Picture 1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85910" name="Picture 1" descr="First read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84235">
              <w:rPr>
                <w:noProof/>
              </w:rPr>
              <w:drawing>
                <wp:inline distT="0" distB="0" distL="0" distR="0" wp14:anchorId="74244DAF" wp14:editId="2FC51B7A">
                  <wp:extent cx="172442" cy="172442"/>
                  <wp:effectExtent l="0" t="0" r="0" b="0"/>
                  <wp:docPr id="908996534" name="Picture 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892582" name="Picture 2" descr="Item based on a Commission proposa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9" w:type="dxa"/>
            <w:tcMar>
              <w:top w:w="284" w:type="dxa"/>
              <w:right w:w="0" w:type="dxa"/>
            </w:tcMar>
          </w:tcPr>
          <w:p w14:paraId="7C84297F" w14:textId="77777777" w:rsidR="0001163A" w:rsidRPr="00984235" w:rsidRDefault="0001163A" w:rsidP="000E4667"/>
        </w:tc>
      </w:tr>
    </w:tbl>
    <w:p w14:paraId="651CFED7" w14:textId="77777777" w:rsidR="0034687F" w:rsidRPr="0050382C" w:rsidRDefault="0034687F" w:rsidP="0034687F">
      <w:pPr>
        <w:pageBreakBefore/>
        <w:spacing w:before="240"/>
        <w:jc w:val="right"/>
      </w:pPr>
      <w:r w:rsidRPr="0050382C">
        <w:rPr>
          <w:b/>
          <w:bCs/>
          <w:u w:val="single"/>
        </w:rPr>
        <w:lastRenderedPageBreak/>
        <w:t>ANNEX</w:t>
      </w:r>
    </w:p>
    <w:p w14:paraId="24695F37" w14:textId="77777777" w:rsidR="0034687F" w:rsidRPr="0050382C" w:rsidRDefault="0034687F" w:rsidP="0034687F">
      <w:pPr>
        <w:spacing w:before="360"/>
        <w:jc w:val="center"/>
        <w:rPr>
          <w:b/>
          <w:bCs/>
          <w:u w:val="single"/>
        </w:rPr>
      </w:pPr>
      <w:r w:rsidRPr="0050382C">
        <w:rPr>
          <w:b/>
          <w:bCs/>
          <w:u w:val="single"/>
        </w:rPr>
        <w:t>Non-discussion items (I)</w:t>
      </w:r>
    </w:p>
    <w:p w14:paraId="7976840A" w14:textId="77777777" w:rsidR="0034687F" w:rsidRPr="00FF5B31" w:rsidRDefault="0034687F" w:rsidP="0034687F">
      <w:pPr>
        <w:pStyle w:val="TableTitle"/>
        <w:rPr>
          <w:szCs w:val="24"/>
        </w:rPr>
      </w:pPr>
      <w:r w:rsidRPr="00FF5B31">
        <w:rPr>
          <w:szCs w:val="24"/>
        </w:rPr>
        <w:t>Institutional Affairs</w:t>
      </w:r>
    </w:p>
    <w:tbl>
      <w:tblPr>
        <w:tblStyle w:val="TableGrid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8"/>
        <w:gridCol w:w="2098"/>
      </w:tblGrid>
      <w:tr w:rsidR="0034687F" w:rsidRPr="00FF5B31" w14:paraId="734045E6" w14:textId="77777777" w:rsidTr="00D26066">
        <w:tc>
          <w:tcPr>
            <w:tcW w:w="7030" w:type="dxa"/>
            <w:hideMark/>
          </w:tcPr>
          <w:p w14:paraId="52B46346" w14:textId="77777777" w:rsidR="0034687F" w:rsidRPr="00FF5B31" w:rsidRDefault="0034687F" w:rsidP="00D26066">
            <w:pPr>
              <w:pStyle w:val="PointManual"/>
              <w:rPr>
                <w:b/>
                <w:bCs/>
                <w:szCs w:val="24"/>
              </w:rPr>
            </w:pPr>
            <w:r w:rsidRPr="00FF5B31">
              <w:rPr>
                <w:b/>
                <w:bCs/>
                <w:szCs w:val="24"/>
              </w:rPr>
              <w:t>Written questions</w:t>
            </w:r>
          </w:p>
        </w:tc>
        <w:tc>
          <w:tcPr>
            <w:tcW w:w="738" w:type="dxa"/>
            <w:tcMar>
              <w:top w:w="170" w:type="dxa"/>
              <w:left w:w="28" w:type="dxa"/>
              <w:bottom w:w="0" w:type="dxa"/>
              <w:right w:w="113" w:type="dxa"/>
            </w:tcMar>
          </w:tcPr>
          <w:p w14:paraId="6D516724" w14:textId="77777777" w:rsidR="0034687F" w:rsidRPr="00FF5B31" w:rsidRDefault="0034687F" w:rsidP="00D26066">
            <w:pPr>
              <w:rPr>
                <w:noProof/>
                <w:szCs w:val="24"/>
                <w:lang w:eastAsia="en-GB"/>
              </w:rPr>
            </w:pPr>
          </w:p>
        </w:tc>
        <w:tc>
          <w:tcPr>
            <w:tcW w:w="2098" w:type="dxa"/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66EED3CD" w14:textId="77777777" w:rsidR="0034687F" w:rsidRPr="00FF5B31" w:rsidRDefault="0034687F" w:rsidP="00D26066">
            <w:pPr>
              <w:rPr>
                <w:szCs w:val="24"/>
              </w:rPr>
            </w:pPr>
          </w:p>
        </w:tc>
      </w:tr>
      <w:tr w:rsidR="00696B6B" w:rsidRPr="00696B6B" w14:paraId="51A63D87" w14:textId="77777777" w:rsidTr="00D26066">
        <w:tc>
          <w:tcPr>
            <w:tcW w:w="7030" w:type="dxa"/>
            <w:tcMar>
              <w:top w:w="284" w:type="dxa"/>
            </w:tcMar>
          </w:tcPr>
          <w:p w14:paraId="03C66E03" w14:textId="77777777" w:rsidR="00696B6B" w:rsidRPr="00D60CBD" w:rsidRDefault="00696B6B" w:rsidP="00696B6B">
            <w:r w:rsidRPr="00D60CBD">
              <w:t>Reply to question for written answer submitted to the Council by Members of the European Parliament</w:t>
            </w:r>
          </w:p>
          <w:p w14:paraId="6E771A77" w14:textId="77777777" w:rsidR="00696B6B" w:rsidRPr="00D60CBD" w:rsidRDefault="00696B6B" w:rsidP="00696B6B">
            <w:r w:rsidRPr="00D60CBD">
              <w:rPr>
                <w:i/>
              </w:rPr>
              <w:t>Adoption</w:t>
            </w:r>
            <w:r w:rsidR="00AB024E" w:rsidRPr="00D60CBD">
              <w:rPr>
                <w:i/>
              </w:rPr>
              <w:t xml:space="preserve"> by silence procedure</w:t>
            </w:r>
          </w:p>
        </w:tc>
        <w:tc>
          <w:tcPr>
            <w:tcW w:w="738" w:type="dxa"/>
            <w:tcMar>
              <w:top w:w="284" w:type="dxa"/>
              <w:left w:w="28" w:type="dxa"/>
              <w:right w:w="113" w:type="dxa"/>
            </w:tcMar>
          </w:tcPr>
          <w:p w14:paraId="6A3F3BF7" w14:textId="77777777" w:rsidR="00696B6B" w:rsidRPr="00D60CBD" w:rsidRDefault="00696B6B" w:rsidP="00696B6B">
            <w:r w:rsidRPr="00D60CBD">
              <w:rPr>
                <w:noProof/>
              </w:rPr>
              <w:drawing>
                <wp:inline distT="0" distB="0" distL="0" distR="0" wp14:anchorId="37BBD630" wp14:editId="3C14B220">
                  <wp:extent cx="172442" cy="172442"/>
                  <wp:effectExtent l="0" t="0" r="0" b="0"/>
                  <wp:docPr id="377022203" name="Picture 2" descr="Silence procedure (Article 12(2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022203" name="Picture 2" descr="Silence procedure (Article 12(2) of the Council's Rules of Procedure)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16EC72F0" w14:textId="77777777" w:rsidR="00696B6B" w:rsidRPr="00D60CBD" w:rsidRDefault="00696B6B" w:rsidP="00696B6B">
            <w:r w:rsidRPr="00D60CBD">
              <w:t>15544/25</w:t>
            </w:r>
          </w:p>
          <w:p w14:paraId="08020C80" w14:textId="77777777" w:rsidR="00696B6B" w:rsidRPr="00D60CBD" w:rsidRDefault="00696B6B" w:rsidP="00696B6B">
            <w:r w:rsidRPr="00D60CBD">
              <w:t>PE-QE</w:t>
            </w:r>
          </w:p>
        </w:tc>
      </w:tr>
      <w:tr w:rsidR="0034687F" w:rsidRPr="006A0C38" w14:paraId="307A5175" w14:textId="77777777" w:rsidTr="00D26066">
        <w:tc>
          <w:tcPr>
            <w:tcW w:w="7030" w:type="dxa"/>
            <w:tcMar>
              <w:top w:w="284" w:type="dxa"/>
            </w:tcMar>
          </w:tcPr>
          <w:p w14:paraId="71933244" w14:textId="77777777" w:rsidR="0034687F" w:rsidRPr="00D60CBD" w:rsidRDefault="005F2EAE" w:rsidP="005F2EAE">
            <w:pPr>
              <w:spacing w:after="200" w:line="276" w:lineRule="auto"/>
              <w:ind w:left="601"/>
              <w:rPr>
                <w:b/>
                <w:bCs/>
              </w:rPr>
            </w:pPr>
            <w:r w:rsidRPr="00D60CBD">
              <w:t xml:space="preserve">René </w:t>
            </w:r>
            <w:proofErr w:type="spellStart"/>
            <w:r w:rsidRPr="00D60CBD">
              <w:t>Aust</w:t>
            </w:r>
            <w:proofErr w:type="spellEnd"/>
            <w:r w:rsidRPr="00D60CBD">
              <w:t xml:space="preserve"> (ESN)</w:t>
            </w:r>
            <w:r w:rsidRPr="00D60CBD">
              <w:br/>
              <w:t>"Overall economic impact of the Russia sanctions, effectiveness of protection mechanisms, and adapting the sanctions policy"</w:t>
            </w:r>
          </w:p>
        </w:tc>
        <w:tc>
          <w:tcPr>
            <w:tcW w:w="738" w:type="dxa"/>
            <w:tcMar>
              <w:top w:w="284" w:type="dxa"/>
              <w:left w:w="28" w:type="dxa"/>
              <w:right w:w="113" w:type="dxa"/>
            </w:tcMar>
          </w:tcPr>
          <w:p w14:paraId="36FC4CD2" w14:textId="77777777" w:rsidR="0034687F" w:rsidRPr="00D60CBD" w:rsidRDefault="0034687F" w:rsidP="00D26066"/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081BE058" w14:textId="77777777" w:rsidR="0034687F" w:rsidRPr="00D60CBD" w:rsidRDefault="005F2EAE" w:rsidP="00D26066">
            <w:r w:rsidRPr="00D60CBD">
              <w:t>15090/25</w:t>
            </w:r>
          </w:p>
        </w:tc>
      </w:tr>
      <w:tr w:rsidR="00EB48F3" w:rsidRPr="006A0C38" w14:paraId="3442FD0D" w14:textId="77777777" w:rsidTr="00665A71">
        <w:trPr>
          <w:trHeight w:val="364"/>
        </w:trPr>
        <w:tc>
          <w:tcPr>
            <w:tcW w:w="7030" w:type="dxa"/>
            <w:tcMar>
              <w:top w:w="284" w:type="dxa"/>
            </w:tcMar>
          </w:tcPr>
          <w:p w14:paraId="5F93C5E6" w14:textId="77777777" w:rsidR="00EB48F3" w:rsidRPr="00D60CBD" w:rsidRDefault="00EB48F3" w:rsidP="00EB48F3">
            <w:pPr>
              <w:rPr>
                <w:b/>
                <w:bCs/>
              </w:rPr>
            </w:pPr>
            <w:r w:rsidRPr="00D60CBD">
              <w:rPr>
                <w:b/>
              </w:rPr>
              <w:t>Minutes of Council meetings</w:t>
            </w:r>
          </w:p>
          <w:p w14:paraId="431C04F0" w14:textId="77777777" w:rsidR="00EB48F3" w:rsidRPr="00D60CBD" w:rsidRDefault="00EB48F3" w:rsidP="00EB48F3">
            <w:pPr>
              <w:pStyle w:val="PointManual"/>
              <w:rPr>
                <w:b/>
                <w:bCs/>
              </w:rPr>
            </w:pPr>
            <w:r w:rsidRPr="00D60CBD">
              <w:rPr>
                <w:i/>
                <w:iCs/>
              </w:rPr>
              <w:t>Approval</w:t>
            </w:r>
          </w:p>
        </w:tc>
        <w:tc>
          <w:tcPr>
            <w:tcW w:w="738" w:type="dxa"/>
            <w:tcMar>
              <w:top w:w="284" w:type="dxa"/>
              <w:left w:w="28" w:type="dxa"/>
              <w:right w:w="113" w:type="dxa"/>
            </w:tcMar>
          </w:tcPr>
          <w:p w14:paraId="24F632BF" w14:textId="77777777" w:rsidR="00EB48F3" w:rsidRPr="00D60CBD" w:rsidRDefault="006805B0" w:rsidP="00EB48F3">
            <w:r>
              <w:rPr>
                <w:rFonts w:eastAsiaTheme="minorHAnsi"/>
                <w:noProof/>
                <w:szCs w:val="22"/>
              </w:rPr>
              <w:pict w14:anchorId="0102426E">
                <v:shape id="Picture 1" o:spid="_x0000_i1027" type="#_x0000_t75" alt="Procedural decision by Coreper (Article 19(3)&amp;(7) of the Council's Rules of Procedure)" style="width:13.8pt;height:13.8pt;visibility:visible;mso-wrap-style:square">
                  <v:imagedata r:id="rId13" o:title="Procedural decision by Coreper (Article 19(3)&amp;(7) of the Council's Rules of Procedure)"/>
                </v:shape>
              </w:pict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14058EC6" w14:textId="77777777" w:rsidR="00EB48F3" w:rsidRPr="00D60CBD" w:rsidRDefault="00EB48F3" w:rsidP="00EB48F3">
            <w:r w:rsidRPr="00D60CBD">
              <w:t>PV CONS</w:t>
            </w:r>
          </w:p>
        </w:tc>
      </w:tr>
      <w:tr w:rsidR="00EB48F3" w:rsidRPr="006A0C38" w14:paraId="00D1503F" w14:textId="77777777" w:rsidTr="00665A71">
        <w:trPr>
          <w:trHeight w:val="364"/>
        </w:trPr>
        <w:tc>
          <w:tcPr>
            <w:tcW w:w="7030" w:type="dxa"/>
            <w:tcMar>
              <w:top w:w="284" w:type="dxa"/>
            </w:tcMar>
          </w:tcPr>
          <w:p w14:paraId="08F29B44" w14:textId="77777777" w:rsidR="00EB48F3" w:rsidRPr="00D60CBD" w:rsidRDefault="00EB48F3" w:rsidP="00EB48F3">
            <w:pPr>
              <w:pStyle w:val="PointManual"/>
              <w:rPr>
                <w:b/>
                <w:bCs/>
              </w:rPr>
            </w:pPr>
            <w:r w:rsidRPr="00D60CBD">
              <w:rPr>
                <w:lang w:eastAsia="en-GB"/>
              </w:rPr>
              <w:t>a)</w:t>
            </w:r>
            <w:r w:rsidRPr="00D60CBD">
              <w:rPr>
                <w:lang w:eastAsia="en-GB"/>
              </w:rPr>
              <w:tab/>
              <w:t>EPSCO 17.10.2025</w:t>
            </w:r>
          </w:p>
        </w:tc>
        <w:tc>
          <w:tcPr>
            <w:tcW w:w="738" w:type="dxa"/>
            <w:tcMar>
              <w:top w:w="284" w:type="dxa"/>
              <w:left w:w="28" w:type="dxa"/>
              <w:right w:w="113" w:type="dxa"/>
            </w:tcMar>
          </w:tcPr>
          <w:p w14:paraId="5E3B3460" w14:textId="77777777" w:rsidR="00EB48F3" w:rsidRPr="00D60CBD" w:rsidRDefault="00EB48F3" w:rsidP="00EB48F3"/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20553B51" w14:textId="77777777" w:rsidR="00EB48F3" w:rsidRPr="00D60CBD" w:rsidRDefault="00EB48F3" w:rsidP="00EB48F3">
            <w:r w:rsidRPr="00D60CBD">
              <w:rPr>
                <w:lang w:val="en-US" w:eastAsia="en-GB"/>
              </w:rPr>
              <w:t xml:space="preserve">14183/25 </w:t>
            </w:r>
            <w:r w:rsidRPr="00D60CBD">
              <w:rPr>
                <w:lang w:eastAsia="en-GB"/>
              </w:rPr>
              <w:t>+ ADD 1</w:t>
            </w:r>
          </w:p>
        </w:tc>
      </w:tr>
      <w:tr w:rsidR="00EB48F3" w:rsidRPr="006A0C38" w14:paraId="6B1FF629" w14:textId="77777777" w:rsidTr="00665A71">
        <w:trPr>
          <w:trHeight w:val="364"/>
        </w:trPr>
        <w:tc>
          <w:tcPr>
            <w:tcW w:w="7030" w:type="dxa"/>
            <w:tcMar>
              <w:top w:w="284" w:type="dxa"/>
            </w:tcMar>
          </w:tcPr>
          <w:p w14:paraId="79002EBD" w14:textId="77777777" w:rsidR="00EB48F3" w:rsidRPr="00D60CBD" w:rsidRDefault="00EB48F3" w:rsidP="00EB48F3">
            <w:pPr>
              <w:pStyle w:val="PointManual"/>
              <w:rPr>
                <w:b/>
                <w:bCs/>
              </w:rPr>
            </w:pPr>
            <w:r w:rsidRPr="00D60CBD">
              <w:rPr>
                <w:lang w:eastAsia="en-GB"/>
              </w:rPr>
              <w:t>b)</w:t>
            </w:r>
            <w:r w:rsidRPr="00D60CBD">
              <w:rPr>
                <w:lang w:eastAsia="en-GB"/>
              </w:rPr>
              <w:tab/>
            </w:r>
            <w:r w:rsidRPr="00D60CBD">
              <w:rPr>
                <w:lang w:val="en-US" w:eastAsia="en-GB"/>
              </w:rPr>
              <w:t>TTE (Energy) 20.10.2025</w:t>
            </w:r>
          </w:p>
        </w:tc>
        <w:tc>
          <w:tcPr>
            <w:tcW w:w="738" w:type="dxa"/>
            <w:tcMar>
              <w:top w:w="284" w:type="dxa"/>
              <w:left w:w="28" w:type="dxa"/>
              <w:right w:w="113" w:type="dxa"/>
            </w:tcMar>
          </w:tcPr>
          <w:p w14:paraId="170E0F29" w14:textId="77777777" w:rsidR="00EB48F3" w:rsidRPr="00D60CBD" w:rsidRDefault="00EB48F3" w:rsidP="00EB48F3"/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116858B6" w14:textId="77777777" w:rsidR="00EB48F3" w:rsidRPr="00D60CBD" w:rsidRDefault="00EB48F3" w:rsidP="00EB48F3">
            <w:r w:rsidRPr="00D60CBD">
              <w:rPr>
                <w:lang w:val="en-US" w:eastAsia="en-GB"/>
              </w:rPr>
              <w:t>14286/25 + ADD 1</w:t>
            </w:r>
          </w:p>
        </w:tc>
      </w:tr>
      <w:tr w:rsidR="0034687F" w:rsidRPr="006A0C38" w14:paraId="31366F31" w14:textId="77777777" w:rsidTr="00665A71">
        <w:trPr>
          <w:trHeight w:val="364"/>
        </w:trPr>
        <w:tc>
          <w:tcPr>
            <w:tcW w:w="7030" w:type="dxa"/>
            <w:tcMar>
              <w:top w:w="284" w:type="dxa"/>
            </w:tcMar>
          </w:tcPr>
          <w:p w14:paraId="44337E00" w14:textId="77777777" w:rsidR="0034687F" w:rsidRPr="00EF3A4B" w:rsidRDefault="0034687F" w:rsidP="00D26066">
            <w:pPr>
              <w:pStyle w:val="PointManual"/>
              <w:rPr>
                <w:b/>
                <w:bCs/>
              </w:rPr>
            </w:pPr>
            <w:r w:rsidRPr="00584908">
              <w:rPr>
                <w:b/>
                <w:bCs/>
              </w:rPr>
              <w:t>Appointments</w:t>
            </w:r>
          </w:p>
        </w:tc>
        <w:tc>
          <w:tcPr>
            <w:tcW w:w="738" w:type="dxa"/>
            <w:tcMar>
              <w:top w:w="284" w:type="dxa"/>
              <w:left w:w="28" w:type="dxa"/>
              <w:right w:w="113" w:type="dxa"/>
            </w:tcMar>
          </w:tcPr>
          <w:p w14:paraId="0675B0A0" w14:textId="77777777" w:rsidR="0034687F" w:rsidRPr="00046607" w:rsidRDefault="0034687F" w:rsidP="00D26066"/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6C05AFCE" w14:textId="77777777" w:rsidR="0034687F" w:rsidRPr="00046607" w:rsidRDefault="0034687F" w:rsidP="00D26066"/>
        </w:tc>
      </w:tr>
      <w:tr w:rsidR="00584908" w:rsidRPr="00584908" w14:paraId="265C932D" w14:textId="77777777" w:rsidTr="00D26066">
        <w:tc>
          <w:tcPr>
            <w:tcW w:w="7030" w:type="dxa"/>
            <w:tcMar>
              <w:top w:w="284" w:type="dxa"/>
            </w:tcMar>
          </w:tcPr>
          <w:p w14:paraId="1054804C" w14:textId="77777777" w:rsidR="00584908" w:rsidRDefault="00584908" w:rsidP="00584908">
            <w:r>
              <w:t>One member (MT) of the Management Board of the European Agency for Safety and Health at Work</w:t>
            </w:r>
          </w:p>
          <w:p w14:paraId="14CAA0C1" w14:textId="77777777" w:rsidR="00584908" w:rsidRPr="00584908" w:rsidRDefault="00584908" w:rsidP="00584908">
            <w:r w:rsidRPr="00584908">
              <w:rPr>
                <w:i/>
              </w:rPr>
              <w:t>Adoption</w:t>
            </w:r>
          </w:p>
        </w:tc>
        <w:tc>
          <w:tcPr>
            <w:tcW w:w="738" w:type="dxa"/>
            <w:tcMar>
              <w:top w:w="284" w:type="dxa"/>
              <w:left w:w="28" w:type="dxa"/>
              <w:right w:w="113" w:type="dxa"/>
            </w:tcMar>
          </w:tcPr>
          <w:p w14:paraId="3C85C7FB" w14:textId="77777777" w:rsidR="00584908" w:rsidRPr="00584908" w:rsidRDefault="00584908" w:rsidP="00584908"/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7355C70A" w14:textId="77777777" w:rsidR="00584908" w:rsidRDefault="00584908" w:rsidP="00584908">
            <w:r>
              <w:t>15644/25</w:t>
            </w:r>
          </w:p>
          <w:p w14:paraId="3CC1C930" w14:textId="77777777" w:rsidR="00584908" w:rsidRDefault="00584908" w:rsidP="00584908">
            <w:r>
              <w:t>15642/25</w:t>
            </w:r>
          </w:p>
          <w:p w14:paraId="71500855" w14:textId="77777777" w:rsidR="00584908" w:rsidRPr="00584908" w:rsidRDefault="00584908" w:rsidP="00584908">
            <w:r>
              <w:t>SOC</w:t>
            </w:r>
          </w:p>
        </w:tc>
      </w:tr>
      <w:tr w:rsidR="00584908" w:rsidRPr="00EF3A4B" w14:paraId="5BEB7C99" w14:textId="77777777" w:rsidTr="00D26066">
        <w:tc>
          <w:tcPr>
            <w:tcW w:w="7030" w:type="dxa"/>
            <w:tcMar>
              <w:top w:w="284" w:type="dxa"/>
            </w:tcMar>
          </w:tcPr>
          <w:p w14:paraId="4886E736" w14:textId="77777777" w:rsidR="00584908" w:rsidRDefault="00584908" w:rsidP="00584908">
            <w:r>
              <w:t>One alternate member (MT) of the Management Board of the European Agency for Safety and Health at Work</w:t>
            </w:r>
          </w:p>
          <w:p w14:paraId="7A60CF7E" w14:textId="77777777" w:rsidR="00584908" w:rsidRPr="00880D90" w:rsidRDefault="00584908" w:rsidP="00584908">
            <w:pPr>
              <w:rPr>
                <w:b/>
                <w:bCs/>
              </w:rPr>
            </w:pPr>
            <w:r w:rsidRPr="00584908">
              <w:rPr>
                <w:i/>
              </w:rPr>
              <w:t>Adoption</w:t>
            </w:r>
          </w:p>
        </w:tc>
        <w:tc>
          <w:tcPr>
            <w:tcW w:w="738" w:type="dxa"/>
            <w:tcMar>
              <w:top w:w="284" w:type="dxa"/>
              <w:left w:w="28" w:type="dxa"/>
              <w:right w:w="113" w:type="dxa"/>
            </w:tcMar>
          </w:tcPr>
          <w:p w14:paraId="6F04FC8C" w14:textId="77777777" w:rsidR="00584908" w:rsidRPr="00EF3A4B" w:rsidRDefault="00584908" w:rsidP="00584908"/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2D5976BB" w14:textId="77777777" w:rsidR="00584908" w:rsidRDefault="00584908" w:rsidP="00584908">
            <w:r>
              <w:t>15647/25</w:t>
            </w:r>
          </w:p>
          <w:p w14:paraId="5C2C9EC0" w14:textId="77777777" w:rsidR="00584908" w:rsidRDefault="00584908" w:rsidP="00584908">
            <w:r>
              <w:t>15645/25</w:t>
            </w:r>
          </w:p>
          <w:p w14:paraId="36D31C25" w14:textId="77777777" w:rsidR="00584908" w:rsidRPr="00EF3A4B" w:rsidRDefault="00584908" w:rsidP="00584908">
            <w:r>
              <w:t>SOC</w:t>
            </w:r>
          </w:p>
        </w:tc>
      </w:tr>
      <w:tr w:rsidR="00A107EA" w:rsidRPr="00EF3A4B" w14:paraId="5AB49081" w14:textId="77777777" w:rsidTr="00D26066">
        <w:tc>
          <w:tcPr>
            <w:tcW w:w="7030" w:type="dxa"/>
            <w:tcMar>
              <w:top w:w="284" w:type="dxa"/>
            </w:tcMar>
          </w:tcPr>
          <w:p w14:paraId="7417EC85" w14:textId="77777777" w:rsidR="00A107EA" w:rsidRDefault="00A107EA" w:rsidP="00584908">
            <w:r w:rsidRPr="00A107EA">
              <w:rPr>
                <w:b/>
                <w:bCs/>
              </w:rPr>
              <w:t>Other</w:t>
            </w:r>
          </w:p>
        </w:tc>
        <w:tc>
          <w:tcPr>
            <w:tcW w:w="738" w:type="dxa"/>
            <w:tcMar>
              <w:top w:w="284" w:type="dxa"/>
              <w:left w:w="28" w:type="dxa"/>
              <w:right w:w="113" w:type="dxa"/>
            </w:tcMar>
          </w:tcPr>
          <w:p w14:paraId="54D99C95" w14:textId="77777777" w:rsidR="00A107EA" w:rsidRPr="00EF3A4B" w:rsidRDefault="00A107EA" w:rsidP="00584908"/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3B58DA1E" w14:textId="77777777" w:rsidR="00A107EA" w:rsidRDefault="00A107EA" w:rsidP="00584908"/>
        </w:tc>
      </w:tr>
      <w:tr w:rsidR="00A107EA" w:rsidRPr="00EF3A4B" w14:paraId="6D9CF098" w14:textId="77777777" w:rsidTr="00D26066">
        <w:tc>
          <w:tcPr>
            <w:tcW w:w="7030" w:type="dxa"/>
            <w:tcMar>
              <w:top w:w="284" w:type="dxa"/>
            </w:tcMar>
          </w:tcPr>
          <w:p w14:paraId="5C189C5F" w14:textId="77777777" w:rsidR="00A107EA" w:rsidRPr="00511CFE" w:rsidRDefault="00A107EA" w:rsidP="00A107EA">
            <w:r w:rsidRPr="00511CFE">
              <w:t>Attendance of third parties at the Working Party on Space on</w:t>
            </w:r>
            <w:r>
              <w:t> </w:t>
            </w:r>
            <w:r w:rsidRPr="00511CFE">
              <w:t>16</w:t>
            </w:r>
            <w:r>
              <w:t> </w:t>
            </w:r>
            <w:r w:rsidRPr="00511CFE">
              <w:t>December 2025</w:t>
            </w:r>
          </w:p>
          <w:p w14:paraId="3733DDDA" w14:textId="77777777" w:rsidR="00A107EA" w:rsidRDefault="00A107EA" w:rsidP="00A107EA">
            <w:r w:rsidRPr="00511CFE">
              <w:rPr>
                <w:i/>
              </w:rPr>
              <w:t>Approval</w:t>
            </w:r>
          </w:p>
        </w:tc>
        <w:tc>
          <w:tcPr>
            <w:tcW w:w="738" w:type="dxa"/>
            <w:tcMar>
              <w:top w:w="284" w:type="dxa"/>
              <w:left w:w="28" w:type="dxa"/>
              <w:right w:w="113" w:type="dxa"/>
            </w:tcMar>
          </w:tcPr>
          <w:p w14:paraId="5BD2B8E7" w14:textId="77777777" w:rsidR="00A107EA" w:rsidRPr="00EF3A4B" w:rsidRDefault="00A107EA" w:rsidP="00A107EA"/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3E0C6569" w14:textId="77777777" w:rsidR="00A107EA" w:rsidRPr="00511CFE" w:rsidRDefault="00A107EA" w:rsidP="00A107EA">
            <w:r w:rsidRPr="00511CFE">
              <w:t>15442/25</w:t>
            </w:r>
          </w:p>
          <w:p w14:paraId="7C9B51C5" w14:textId="77777777" w:rsidR="00A107EA" w:rsidRDefault="00A107EA" w:rsidP="00A107EA">
            <w:r w:rsidRPr="00511CFE">
              <w:t>ESPACE</w:t>
            </w:r>
          </w:p>
        </w:tc>
      </w:tr>
      <w:tr w:rsidR="00A107EA" w:rsidRPr="00EF3A4B" w14:paraId="27D36630" w14:textId="77777777" w:rsidTr="00D26066">
        <w:tc>
          <w:tcPr>
            <w:tcW w:w="7030" w:type="dxa"/>
            <w:tcMar>
              <w:top w:w="284" w:type="dxa"/>
            </w:tcMar>
          </w:tcPr>
          <w:p w14:paraId="38C6E524" w14:textId="77777777" w:rsidR="00A107EA" w:rsidRDefault="00A107EA" w:rsidP="00A107EA">
            <w:r>
              <w:t>Attendance of third parties at the Working Party on Animals and Veterinary Questions (Chief Veterinary Officers) on 2</w:t>
            </w:r>
            <w:r>
              <w:noBreakHyphen/>
              <w:t>3 December 2025</w:t>
            </w:r>
          </w:p>
          <w:p w14:paraId="41515B89" w14:textId="77777777" w:rsidR="00A107EA" w:rsidRDefault="00A107EA" w:rsidP="00A107EA">
            <w:r w:rsidRPr="00584908">
              <w:rPr>
                <w:i/>
              </w:rPr>
              <w:t>Approval</w:t>
            </w:r>
          </w:p>
        </w:tc>
        <w:tc>
          <w:tcPr>
            <w:tcW w:w="738" w:type="dxa"/>
            <w:tcMar>
              <w:top w:w="284" w:type="dxa"/>
              <w:left w:w="28" w:type="dxa"/>
              <w:right w:w="113" w:type="dxa"/>
            </w:tcMar>
          </w:tcPr>
          <w:p w14:paraId="69317F38" w14:textId="77777777" w:rsidR="00A107EA" w:rsidRPr="00EF3A4B" w:rsidRDefault="00A107EA" w:rsidP="00A107EA"/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2AEA6920" w14:textId="77777777" w:rsidR="00A107EA" w:rsidRDefault="00A107EA" w:rsidP="00A107EA">
            <w:r>
              <w:t>15629/25</w:t>
            </w:r>
          </w:p>
          <w:p w14:paraId="7DCFCC09" w14:textId="77777777" w:rsidR="00A107EA" w:rsidRDefault="00A107EA" w:rsidP="00A107EA">
            <w:r>
              <w:t>VETER</w:t>
            </w:r>
          </w:p>
        </w:tc>
      </w:tr>
    </w:tbl>
    <w:p w14:paraId="74040F15" w14:textId="77777777" w:rsidR="00511CFE" w:rsidRPr="00C0659E" w:rsidRDefault="00511CFE" w:rsidP="00EB48F3">
      <w:pPr>
        <w:pStyle w:val="TableTitle"/>
        <w:pageBreakBefore/>
      </w:pPr>
      <w:r>
        <w:lastRenderedPageBreak/>
        <w:t>Judicial Affairs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511CFE" w:rsidRPr="00AD542B" w14:paraId="550BD180" w14:textId="77777777" w:rsidTr="00CE379A">
        <w:tc>
          <w:tcPr>
            <w:tcW w:w="7030" w:type="dxa"/>
            <w:tcMar>
              <w:top w:w="284" w:type="dxa"/>
            </w:tcMar>
          </w:tcPr>
          <w:p w14:paraId="5AC39C0D" w14:textId="77777777" w:rsidR="00511CFE" w:rsidRDefault="00511CFE" w:rsidP="00CE379A">
            <w:r>
              <w:t>Case T-596/25 (Lotus Cars v. Commission), validity of Articles 2(4) or 3(2) of Regulation 2019/631 setting CO2 emission performance standards for new passenger cars</w:t>
            </w:r>
          </w:p>
          <w:p w14:paraId="1D468FA4" w14:textId="77777777" w:rsidR="00511CFE" w:rsidRPr="00AD542B" w:rsidRDefault="00511CFE" w:rsidP="00CE379A">
            <w:r w:rsidRPr="00AD542B">
              <w:rPr>
                <w:i/>
              </w:rPr>
              <w:t>Information note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37015627" w14:textId="77777777" w:rsidR="00511CFE" w:rsidRPr="00AD542B" w:rsidRDefault="00511CFE" w:rsidP="00CE379A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4952EC43" w14:textId="77777777" w:rsidR="00511CFE" w:rsidRDefault="00511CFE" w:rsidP="00CE379A">
            <w:r>
              <w:t>15628/25</w:t>
            </w:r>
          </w:p>
          <w:p w14:paraId="0D3E94DE" w14:textId="77777777" w:rsidR="00511CFE" w:rsidRDefault="00511CFE" w:rsidP="00CE379A">
            <w:r>
              <w:t>JUR</w:t>
            </w:r>
          </w:p>
          <w:p w14:paraId="34E1C9E9" w14:textId="77777777" w:rsidR="00511CFE" w:rsidRPr="00AD542B" w:rsidRDefault="00511CFE" w:rsidP="00CE379A">
            <w:r>
              <w:t>TRANS</w:t>
            </w:r>
          </w:p>
        </w:tc>
      </w:tr>
    </w:tbl>
    <w:p w14:paraId="4170FDE2" w14:textId="77777777" w:rsidR="001F1D93" w:rsidRPr="00C0659E" w:rsidRDefault="001F1D93" w:rsidP="00EB48F3">
      <w:pPr>
        <w:pStyle w:val="TableTitle"/>
      </w:pPr>
      <w:r w:rsidRPr="00511CFE">
        <w:rPr>
          <w:bCs/>
        </w:rPr>
        <w:t>EU positions for international negotiations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1F1D93" w:rsidRPr="006A56F8" w14:paraId="22038800" w14:textId="77777777" w:rsidTr="0001794D">
        <w:tc>
          <w:tcPr>
            <w:tcW w:w="7030" w:type="dxa"/>
            <w:tcMar>
              <w:top w:w="284" w:type="dxa"/>
            </w:tcMar>
          </w:tcPr>
          <w:p w14:paraId="26C88D89" w14:textId="77777777" w:rsidR="001F1D93" w:rsidRDefault="001F1D93" w:rsidP="0001794D">
            <w:r>
              <w:t xml:space="preserve">Council Decision on the </w:t>
            </w:r>
            <w:r w:rsidR="00D66B1E">
              <w:t xml:space="preserve">EU </w:t>
            </w:r>
            <w:r>
              <w:t>position within the Regional Steering Committee of the Transport Community as regards the adoption of the budget of the Transport Community for 2026</w:t>
            </w:r>
          </w:p>
          <w:p w14:paraId="76EA90B7" w14:textId="77777777" w:rsidR="001F1D93" w:rsidRPr="006A56F8" w:rsidRDefault="001F1D93" w:rsidP="0001794D">
            <w:r w:rsidRPr="006A56F8">
              <w:rPr>
                <w:i/>
              </w:rPr>
              <w:t>Adoption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1FBEB56B" w14:textId="77777777" w:rsidR="001F1D93" w:rsidRPr="006A56F8" w:rsidRDefault="001F1D93" w:rsidP="0001794D">
            <w:pPr>
              <w:pStyle w:val="NormalRight"/>
            </w:pPr>
            <w:r>
              <w:rPr>
                <w:noProof/>
              </w:rPr>
              <w:drawing>
                <wp:inline distT="0" distB="0" distL="0" distR="0" wp14:anchorId="4EBB3068" wp14:editId="7E3CD354">
                  <wp:extent cx="172442" cy="172442"/>
                  <wp:effectExtent l="0" t="0" r="0" b="0"/>
                  <wp:docPr id="540133795" name="Picture 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133795" name="Picture 2" descr="Item based on a Commission proposa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724283F0" w14:textId="77777777" w:rsidR="001F1D93" w:rsidRDefault="001F1D93" w:rsidP="0001794D">
            <w:r>
              <w:t>15249/25</w:t>
            </w:r>
          </w:p>
          <w:p w14:paraId="7CCC859F" w14:textId="77777777" w:rsidR="001F1D93" w:rsidRDefault="001F1D93" w:rsidP="0001794D">
            <w:r>
              <w:t>15228/25 + ADD 1</w:t>
            </w:r>
          </w:p>
          <w:p w14:paraId="4D2F1348" w14:textId="77777777" w:rsidR="001F1D93" w:rsidRPr="006A56F8" w:rsidRDefault="001F1D93" w:rsidP="0001794D">
            <w:r>
              <w:t>TRANS</w:t>
            </w:r>
          </w:p>
        </w:tc>
      </w:tr>
      <w:tr w:rsidR="001F1D93" w:rsidRPr="006A56F8" w14:paraId="5ECD17C4" w14:textId="77777777" w:rsidTr="0001794D">
        <w:tc>
          <w:tcPr>
            <w:tcW w:w="7030" w:type="dxa"/>
            <w:tcMar>
              <w:top w:w="284" w:type="dxa"/>
            </w:tcMar>
          </w:tcPr>
          <w:p w14:paraId="7C852F7A" w14:textId="77777777" w:rsidR="001F1D93" w:rsidRPr="00D60CBD" w:rsidRDefault="001F1D93" w:rsidP="0001794D">
            <w:r w:rsidRPr="00D60CBD">
              <w:t xml:space="preserve">Council Decision on the </w:t>
            </w:r>
            <w:r w:rsidR="00D66B1E" w:rsidRPr="00D60CBD">
              <w:t xml:space="preserve">EU </w:t>
            </w:r>
            <w:r w:rsidRPr="00D60CBD">
              <w:t xml:space="preserve">position </w:t>
            </w:r>
            <w:r w:rsidR="00357C71" w:rsidRPr="00D60CBD">
              <w:t>within</w:t>
            </w:r>
            <w:r w:rsidRPr="00D60CBD">
              <w:t xml:space="preserve"> the Regional Steering Committee of the Transport Community as regards certain changes to the rules on the procurement of goods and services applicable to the Transport Community</w:t>
            </w:r>
          </w:p>
          <w:p w14:paraId="1C7B6677" w14:textId="77777777" w:rsidR="001F1D93" w:rsidRPr="00D60CBD" w:rsidRDefault="001F1D93" w:rsidP="0001794D">
            <w:r w:rsidRPr="00D60CBD">
              <w:rPr>
                <w:i/>
              </w:rPr>
              <w:t>Adoption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4516A28B" w14:textId="77777777" w:rsidR="001F1D93" w:rsidRPr="006A56F8" w:rsidRDefault="001F1D93" w:rsidP="0001794D">
            <w:pPr>
              <w:pStyle w:val="NormalRight"/>
            </w:pPr>
            <w:r>
              <w:rPr>
                <w:noProof/>
              </w:rPr>
              <w:drawing>
                <wp:inline distT="0" distB="0" distL="0" distR="0" wp14:anchorId="7E84491B" wp14:editId="33F579EF">
                  <wp:extent cx="172442" cy="172442"/>
                  <wp:effectExtent l="0" t="0" r="0" b="0"/>
                  <wp:docPr id="155198351" name="Picture 5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98351" name="Picture 5" descr="Item based on a Commission proposa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10669AFF" w14:textId="77777777" w:rsidR="001F1D93" w:rsidRDefault="001F1D93" w:rsidP="0001794D">
            <w:r>
              <w:t>15260/25</w:t>
            </w:r>
          </w:p>
          <w:p w14:paraId="4B54DCB6" w14:textId="77777777" w:rsidR="001F1D93" w:rsidRDefault="001F1D93" w:rsidP="0001794D">
            <w:r>
              <w:t xml:space="preserve">15231/25 </w:t>
            </w:r>
            <w:r w:rsidR="00D66B1E">
              <w:t xml:space="preserve">+ </w:t>
            </w:r>
            <w:r>
              <w:t>ADD 1</w:t>
            </w:r>
          </w:p>
          <w:p w14:paraId="11A4152D" w14:textId="77777777" w:rsidR="001F1D93" w:rsidRPr="006A56F8" w:rsidRDefault="001F1D93" w:rsidP="0001794D">
            <w:r>
              <w:t>TRANS</w:t>
            </w:r>
          </w:p>
        </w:tc>
      </w:tr>
      <w:tr w:rsidR="001F1D93" w:rsidRPr="009620DC" w14:paraId="376A2940" w14:textId="77777777" w:rsidTr="0001794D">
        <w:tc>
          <w:tcPr>
            <w:tcW w:w="7030" w:type="dxa"/>
            <w:tcMar>
              <w:top w:w="284" w:type="dxa"/>
            </w:tcMar>
          </w:tcPr>
          <w:p w14:paraId="7D15B1C9" w14:textId="77777777" w:rsidR="001F1D93" w:rsidRPr="009620DC" w:rsidRDefault="001F1D93" w:rsidP="00EE1F50">
            <w:r w:rsidRPr="009620DC">
              <w:t>Coordination of the EU position for the 29th meeting</w:t>
            </w:r>
            <w:r w:rsidR="00357C71" w:rsidRPr="009620DC">
              <w:t>s</w:t>
            </w:r>
            <w:r w:rsidRPr="009620DC">
              <w:t xml:space="preserve"> of the Regional Steering Committee</w:t>
            </w:r>
            <w:r w:rsidR="00EE1F50" w:rsidRPr="009620DC">
              <w:rPr>
                <w:rFonts w:eastAsiaTheme="minorHAnsi"/>
                <w:sz w:val="22"/>
                <w:szCs w:val="22"/>
              </w:rPr>
              <w:t xml:space="preserve"> </w:t>
            </w:r>
            <w:r w:rsidR="00EE1F50" w:rsidRPr="009620DC">
              <w:t>of the Transport Community</w:t>
            </w:r>
            <w:r w:rsidR="00357C71" w:rsidRPr="009620DC">
              <w:t xml:space="preserve"> and of the Ministerial Council</w:t>
            </w:r>
            <w:r w:rsidR="00DC7EF7" w:rsidRPr="009620DC">
              <w:t xml:space="preserve"> </w:t>
            </w:r>
            <w:r w:rsidR="00EE1F50" w:rsidRPr="009620DC">
              <w:t xml:space="preserve">of the Transport Community </w:t>
            </w:r>
            <w:r w:rsidRPr="009620DC">
              <w:t>(Brussels,</w:t>
            </w:r>
            <w:r w:rsidR="00EE1F50" w:rsidRPr="009620DC">
              <w:t xml:space="preserve"> </w:t>
            </w:r>
            <w:r w:rsidRPr="009620DC">
              <w:t>4</w:t>
            </w:r>
            <w:r w:rsidR="00357C71" w:rsidRPr="009620DC">
              <w:noBreakHyphen/>
            </w:r>
            <w:r w:rsidR="00DC7EF7" w:rsidRPr="009620DC">
              <w:t>5</w:t>
            </w:r>
            <w:r w:rsidR="00357C71" w:rsidRPr="009620DC">
              <w:t> </w:t>
            </w:r>
            <w:r w:rsidRPr="009620DC">
              <w:t>December 2025)</w:t>
            </w:r>
          </w:p>
          <w:p w14:paraId="44526853" w14:textId="77777777" w:rsidR="001F1D93" w:rsidRPr="009620DC" w:rsidRDefault="001F1D93" w:rsidP="0001794D">
            <w:r w:rsidRPr="009620DC">
              <w:rPr>
                <w:i/>
              </w:rPr>
              <w:t>Approval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28791F2E" w14:textId="77777777" w:rsidR="001F1D93" w:rsidRPr="009620DC" w:rsidRDefault="001F1D93" w:rsidP="0001794D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49ADF82F" w14:textId="77777777" w:rsidR="001F1D93" w:rsidRPr="009620DC" w:rsidRDefault="001F1D93" w:rsidP="0001794D">
            <w:r w:rsidRPr="009620DC">
              <w:t>15572/25</w:t>
            </w:r>
          </w:p>
          <w:p w14:paraId="32170010" w14:textId="77777777" w:rsidR="001F1D93" w:rsidRPr="009620DC" w:rsidRDefault="001F1D93" w:rsidP="0001794D">
            <w:r w:rsidRPr="009620DC">
              <w:t>TRANS</w:t>
            </w:r>
          </w:p>
        </w:tc>
      </w:tr>
      <w:tr w:rsidR="00894FAC" w:rsidRPr="009620DC" w14:paraId="23BEA5D6" w14:textId="77777777" w:rsidTr="0001794D">
        <w:tc>
          <w:tcPr>
            <w:tcW w:w="7030" w:type="dxa"/>
            <w:tcMar>
              <w:top w:w="284" w:type="dxa"/>
            </w:tcMar>
          </w:tcPr>
          <w:p w14:paraId="7EBD4201" w14:textId="5735C494" w:rsidR="00894FAC" w:rsidRPr="009620DC" w:rsidRDefault="00894FAC" w:rsidP="001F0ED0">
            <w:r w:rsidRPr="009620DC">
              <w:t>C</w:t>
            </w:r>
            <w:r w:rsidR="00696B6B" w:rsidRPr="009620DC">
              <w:t>ouncil</w:t>
            </w:r>
            <w:r w:rsidRPr="009620DC">
              <w:t xml:space="preserve"> D</w:t>
            </w:r>
            <w:r w:rsidR="00696B6B" w:rsidRPr="009620DC">
              <w:t>ecision</w:t>
            </w:r>
            <w:r w:rsidRPr="009620DC">
              <w:t xml:space="preserve"> on the EU position at </w:t>
            </w:r>
            <w:r w:rsidR="001F0ED0" w:rsidRPr="001F0ED0">
              <w:t>24th Conference of the Parties to the Barcelona Convention</w:t>
            </w:r>
          </w:p>
          <w:p w14:paraId="3D9A24B0" w14:textId="77777777" w:rsidR="00894FAC" w:rsidRPr="009620DC" w:rsidRDefault="00894FAC" w:rsidP="00894FAC">
            <w:r w:rsidRPr="009620DC">
              <w:rPr>
                <w:i/>
              </w:rPr>
              <w:t>Adoption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5D7E4562" w14:textId="77777777" w:rsidR="00894FAC" w:rsidRPr="009620DC" w:rsidRDefault="00894FAC" w:rsidP="00894FAC">
            <w:pPr>
              <w:pStyle w:val="NormalRight"/>
            </w:pPr>
            <w:r w:rsidRPr="009620DC">
              <w:rPr>
                <w:noProof/>
              </w:rPr>
              <w:drawing>
                <wp:inline distT="0" distB="0" distL="0" distR="0" wp14:anchorId="6B5399AB" wp14:editId="013B18C8">
                  <wp:extent cx="172442" cy="172442"/>
                  <wp:effectExtent l="0" t="0" r="0" b="0"/>
                  <wp:docPr id="2062888153" name="Picture 1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888153" name="Picture 1" descr="Item based on a Commission proposa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5038AB73" w14:textId="77777777" w:rsidR="00894FAC" w:rsidRPr="009620DC" w:rsidRDefault="00894FAC" w:rsidP="00894FAC">
            <w:r w:rsidRPr="009620DC">
              <w:t>15407/25</w:t>
            </w:r>
          </w:p>
          <w:p w14:paraId="2916355E" w14:textId="77777777" w:rsidR="00894FAC" w:rsidRPr="009620DC" w:rsidRDefault="00894FAC" w:rsidP="00894FAC">
            <w:r w:rsidRPr="009620DC">
              <w:t>15215/25</w:t>
            </w:r>
          </w:p>
          <w:p w14:paraId="540A21C7" w14:textId="77777777" w:rsidR="00894FAC" w:rsidRPr="009620DC" w:rsidRDefault="00894FAC" w:rsidP="00894FAC">
            <w:r w:rsidRPr="009620DC">
              <w:t>ENV</w:t>
            </w:r>
          </w:p>
        </w:tc>
      </w:tr>
      <w:tr w:rsidR="00894FAC" w:rsidRPr="009620DC" w14:paraId="61F905A4" w14:textId="77777777" w:rsidTr="0001794D">
        <w:tc>
          <w:tcPr>
            <w:tcW w:w="7030" w:type="dxa"/>
            <w:tcMar>
              <w:top w:w="284" w:type="dxa"/>
            </w:tcMar>
          </w:tcPr>
          <w:p w14:paraId="63ECD4B6" w14:textId="77777777" w:rsidR="00894FAC" w:rsidRPr="009620DC" w:rsidRDefault="00894FAC" w:rsidP="00894FAC">
            <w:r w:rsidRPr="009620DC">
              <w:t xml:space="preserve">EU position </w:t>
            </w:r>
            <w:r w:rsidR="005F2EAE" w:rsidRPr="009620DC">
              <w:t xml:space="preserve">at the 8th session of the OTIF Ad Hoc Committee </w:t>
            </w:r>
            <w:r w:rsidRPr="009620DC">
              <w:t>on Legal Affairs and International Cooperation (Berne,</w:t>
            </w:r>
            <w:r w:rsidR="00696B6B" w:rsidRPr="009620DC">
              <w:t> </w:t>
            </w:r>
            <w:r w:rsidRPr="009620DC">
              <w:t>2</w:t>
            </w:r>
            <w:r w:rsidR="00696B6B" w:rsidRPr="009620DC">
              <w:noBreakHyphen/>
            </w:r>
            <w:r w:rsidRPr="009620DC">
              <w:t>4</w:t>
            </w:r>
            <w:r w:rsidR="00696B6B" w:rsidRPr="009620DC">
              <w:t> </w:t>
            </w:r>
            <w:r w:rsidRPr="009620DC">
              <w:t>December</w:t>
            </w:r>
            <w:r w:rsidR="005F2EAE" w:rsidRPr="009620DC">
              <w:t> </w:t>
            </w:r>
            <w:r w:rsidRPr="009620DC">
              <w:t>2025)</w:t>
            </w:r>
          </w:p>
          <w:p w14:paraId="0FA93F62" w14:textId="77777777" w:rsidR="00894FAC" w:rsidRPr="009620DC" w:rsidRDefault="00894FAC" w:rsidP="00894FAC">
            <w:r w:rsidRPr="009620DC">
              <w:rPr>
                <w:i/>
              </w:rPr>
              <w:t>Approval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6AF15057" w14:textId="77777777" w:rsidR="00894FAC" w:rsidRPr="009620DC" w:rsidRDefault="00894FAC" w:rsidP="00894FAC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46A40D38" w14:textId="77777777" w:rsidR="00894FAC" w:rsidRPr="009620DC" w:rsidRDefault="00894FAC" w:rsidP="00894FAC">
            <w:r w:rsidRPr="009620DC">
              <w:t>15675/25</w:t>
            </w:r>
          </w:p>
          <w:p w14:paraId="1E9C01AD" w14:textId="77777777" w:rsidR="00894FAC" w:rsidRPr="009620DC" w:rsidRDefault="00894FAC" w:rsidP="00894FAC">
            <w:r w:rsidRPr="009620DC">
              <w:t>TRANS</w:t>
            </w:r>
          </w:p>
        </w:tc>
      </w:tr>
    </w:tbl>
    <w:p w14:paraId="295A3C79" w14:textId="77777777" w:rsidR="007D66C1" w:rsidRPr="009620DC" w:rsidRDefault="007D66C1" w:rsidP="007D66C1">
      <w:pPr>
        <w:pStyle w:val="TableTitle"/>
      </w:pPr>
      <w:r w:rsidRPr="009620DC">
        <w:t>Environment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7D66C1" w:rsidRPr="009620DC" w14:paraId="39D58CAE" w14:textId="77777777" w:rsidTr="00706428">
        <w:tc>
          <w:tcPr>
            <w:tcW w:w="7030" w:type="dxa"/>
            <w:tcMar>
              <w:top w:w="284" w:type="dxa"/>
            </w:tcMar>
          </w:tcPr>
          <w:p w14:paraId="05CEA3E9" w14:textId="52A2491F" w:rsidR="007D66C1" w:rsidRPr="009620DC" w:rsidRDefault="001F0ED0" w:rsidP="001F0ED0">
            <w:r w:rsidRPr="001F0ED0">
              <w:t>24th Conference of the Parties to the Barcelona Convention (Cairo, Egypt, 2-5 December 2025): Draft Ministerial Declaration</w:t>
            </w:r>
          </w:p>
          <w:p w14:paraId="6372CCBA" w14:textId="77777777" w:rsidR="007D66C1" w:rsidRPr="009620DC" w:rsidRDefault="007D66C1" w:rsidP="00D43D27">
            <w:pPr>
              <w:rPr>
                <w:i/>
              </w:rPr>
            </w:pPr>
            <w:r w:rsidRPr="009620DC">
              <w:rPr>
                <w:i/>
              </w:rPr>
              <w:t>Authorisation to sign a non-binding instrument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4624E66B" w14:textId="77777777" w:rsidR="007D66C1" w:rsidRPr="009620DC" w:rsidRDefault="007D66C1" w:rsidP="007D66C1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10A87176" w14:textId="73C45617" w:rsidR="007D66C1" w:rsidRPr="009620DC" w:rsidRDefault="007D66C1" w:rsidP="007D66C1">
            <w:r w:rsidRPr="009620DC">
              <w:t>15405/25</w:t>
            </w:r>
            <w:r w:rsidR="00C06CF1">
              <w:t xml:space="preserve"> + COR 1</w:t>
            </w:r>
          </w:p>
          <w:p w14:paraId="2915867F" w14:textId="77777777" w:rsidR="007D66C1" w:rsidRPr="009620DC" w:rsidRDefault="007D66C1" w:rsidP="007D66C1">
            <w:r w:rsidRPr="009620DC">
              <w:t>ENV</w:t>
            </w:r>
          </w:p>
        </w:tc>
      </w:tr>
    </w:tbl>
    <w:p w14:paraId="5082C12F" w14:textId="77777777" w:rsidR="0034687F" w:rsidRPr="00C0659E" w:rsidRDefault="007A2EFF" w:rsidP="0034687F">
      <w:pPr>
        <w:pStyle w:val="TableTitle"/>
      </w:pPr>
      <w:r w:rsidRPr="009620DC">
        <w:t>Fisheries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7A2EFF" w:rsidRPr="007A2EFF" w14:paraId="22C7C18C" w14:textId="77777777" w:rsidTr="00D26066">
        <w:tc>
          <w:tcPr>
            <w:tcW w:w="7030" w:type="dxa"/>
            <w:tcMar>
              <w:top w:w="284" w:type="dxa"/>
            </w:tcMar>
          </w:tcPr>
          <w:p w14:paraId="4339F6F9" w14:textId="77777777" w:rsidR="007A2EFF" w:rsidRPr="007A2EFF" w:rsidRDefault="007A2EFF" w:rsidP="007A2EFF">
            <w:r w:rsidRPr="007A2EFF">
              <w:t>Council Regulation fixing for 2026 the fishing opportunities applicable in the Baltic Sea</w:t>
            </w:r>
          </w:p>
          <w:p w14:paraId="21C49290" w14:textId="77777777" w:rsidR="007A2EFF" w:rsidRPr="007A2EFF" w:rsidRDefault="007A2EFF" w:rsidP="007A2EFF">
            <w:r w:rsidRPr="007A2EFF">
              <w:rPr>
                <w:i/>
              </w:rPr>
              <w:t>Adoption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0D376B91" w14:textId="77777777" w:rsidR="007A2EFF" w:rsidRPr="007A2EFF" w:rsidRDefault="007A2EFF" w:rsidP="007A2EFF">
            <w:pPr>
              <w:pStyle w:val="NormalRight"/>
            </w:pPr>
            <w:r w:rsidRPr="007A2EFF">
              <w:rPr>
                <w:noProof/>
              </w:rPr>
              <w:drawing>
                <wp:inline distT="0" distB="0" distL="0" distR="0" wp14:anchorId="5332543F" wp14:editId="4CD6D971">
                  <wp:extent cx="172442" cy="172442"/>
                  <wp:effectExtent l="0" t="0" r="0" b="0"/>
                  <wp:docPr id="1771750997" name="Picture 1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750997" name="Picture 1" descr="Item based on a Commission proposa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22265792" w14:textId="77777777" w:rsidR="007A2EFF" w:rsidRPr="007A2EFF" w:rsidRDefault="007A2EFF" w:rsidP="007A2EFF">
            <w:r w:rsidRPr="007A2EFF">
              <w:t>14734/25 + ADD 1</w:t>
            </w:r>
          </w:p>
          <w:p w14:paraId="33FA30DD" w14:textId="77777777" w:rsidR="007A2EFF" w:rsidRPr="007A2EFF" w:rsidRDefault="007A2EFF" w:rsidP="007A2EFF">
            <w:r w:rsidRPr="007A2EFF">
              <w:t>14583/25</w:t>
            </w:r>
          </w:p>
          <w:p w14:paraId="20316A4D" w14:textId="77777777" w:rsidR="007A2EFF" w:rsidRPr="007A2EFF" w:rsidRDefault="007A2EFF" w:rsidP="007A2EFF">
            <w:r w:rsidRPr="007A2EFF">
              <w:t>PECHE</w:t>
            </w:r>
          </w:p>
        </w:tc>
      </w:tr>
    </w:tbl>
    <w:p w14:paraId="6458ECD3" w14:textId="77777777" w:rsidR="0034687F" w:rsidRPr="00472AED" w:rsidRDefault="006A56F8" w:rsidP="00EB48F3">
      <w:pPr>
        <w:pStyle w:val="TableTitle"/>
        <w:pageBreakBefore/>
      </w:pPr>
      <w:r>
        <w:lastRenderedPageBreak/>
        <w:t>Research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6A56F8" w:rsidRPr="006A56F8" w14:paraId="7D5A3608" w14:textId="77777777" w:rsidTr="00D26066">
        <w:tc>
          <w:tcPr>
            <w:tcW w:w="7030" w:type="dxa"/>
            <w:tcMar>
              <w:top w:w="284" w:type="dxa"/>
            </w:tcMar>
          </w:tcPr>
          <w:p w14:paraId="42825A1B" w14:textId="77777777" w:rsidR="006A56F8" w:rsidRDefault="006A56F8" w:rsidP="006A56F8">
            <w:r>
              <w:t>Council D</w:t>
            </w:r>
            <w:r w:rsidRPr="006A56F8">
              <w:t>ecision</w:t>
            </w:r>
            <w:r>
              <w:t xml:space="preserve"> </w:t>
            </w:r>
            <w:r w:rsidR="005F2EAE">
              <w:t>a</w:t>
            </w:r>
            <w:r>
              <w:t>uthorising the opening of negotiations for an</w:t>
            </w:r>
            <w:r w:rsidR="00524F16">
              <w:t> </w:t>
            </w:r>
            <w:r>
              <w:t>agreement on science and technology cooperation between the</w:t>
            </w:r>
            <w:r w:rsidR="00524F16">
              <w:t> </w:t>
            </w:r>
            <w:r>
              <w:t>European Union and the Federal Republic of Nigeria</w:t>
            </w:r>
          </w:p>
          <w:p w14:paraId="1DC79687" w14:textId="77777777" w:rsidR="006A56F8" w:rsidRPr="006A56F8" w:rsidRDefault="006A56F8" w:rsidP="006A56F8">
            <w:r w:rsidRPr="006A56F8">
              <w:rPr>
                <w:i/>
              </w:rPr>
              <w:t>Adoption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0CE66EEB" w14:textId="77777777" w:rsidR="006A56F8" w:rsidRPr="006A56F8" w:rsidRDefault="006A56F8" w:rsidP="006A56F8">
            <w:pPr>
              <w:pStyle w:val="NormalRight"/>
            </w:pPr>
            <w:r>
              <w:rPr>
                <w:noProof/>
              </w:rPr>
              <w:drawing>
                <wp:inline distT="0" distB="0" distL="0" distR="0" wp14:anchorId="6960A036" wp14:editId="3AEF217E">
                  <wp:extent cx="172442" cy="172442"/>
                  <wp:effectExtent l="0" t="0" r="0" b="0"/>
                  <wp:docPr id="1461742636" name="Picture 1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742636" name="Picture 1" descr="Item based on a Commission proposa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7F39F7D9" w14:textId="77777777" w:rsidR="006A56F8" w:rsidRDefault="006A56F8" w:rsidP="006A56F8">
            <w:r>
              <w:t>15519/25</w:t>
            </w:r>
          </w:p>
          <w:p w14:paraId="6DE62ECC" w14:textId="77777777" w:rsidR="006A56F8" w:rsidRDefault="006A56F8" w:rsidP="006A56F8">
            <w:r>
              <w:t>14663/25 + ADD 1</w:t>
            </w:r>
          </w:p>
          <w:p w14:paraId="329E48C3" w14:textId="77777777" w:rsidR="006A56F8" w:rsidRPr="006A56F8" w:rsidRDefault="006A56F8" w:rsidP="006A56F8">
            <w:r>
              <w:t>RECH</w:t>
            </w:r>
          </w:p>
        </w:tc>
      </w:tr>
    </w:tbl>
    <w:p w14:paraId="08D7BEE8" w14:textId="77777777" w:rsidR="006A56F8" w:rsidRPr="00C0659E" w:rsidRDefault="00DC7EF7" w:rsidP="00EB48F3">
      <w:pPr>
        <w:pStyle w:val="TableTitle"/>
      </w:pPr>
      <w:r>
        <w:t>Telecom</w:t>
      </w:r>
      <w:r w:rsidR="00EB2D3A">
        <w:t>munications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1F1D93" w:rsidRPr="001F1D93" w14:paraId="6FED3856" w14:textId="77777777" w:rsidTr="00F643F9">
        <w:tc>
          <w:tcPr>
            <w:tcW w:w="7030" w:type="dxa"/>
            <w:tcMar>
              <w:top w:w="284" w:type="dxa"/>
            </w:tcMar>
          </w:tcPr>
          <w:p w14:paraId="57C37045" w14:textId="77777777" w:rsidR="001F1D93" w:rsidRDefault="001F1D93" w:rsidP="001F1D93">
            <w:r>
              <w:t>Joint Statement of the second meeting of the European Union–Singapore Digital Partnership Council</w:t>
            </w:r>
            <w:r w:rsidR="00524F16">
              <w:t xml:space="preserve"> (Brussels, </w:t>
            </w:r>
            <w:r>
              <w:t>1 December 2025</w:t>
            </w:r>
            <w:r w:rsidR="00524F16">
              <w:t>)</w:t>
            </w:r>
          </w:p>
          <w:p w14:paraId="7FB6E46C" w14:textId="77777777" w:rsidR="001F1D93" w:rsidRPr="001F1D93" w:rsidRDefault="001F1D93" w:rsidP="001F1D93">
            <w:r w:rsidRPr="001F1D93">
              <w:rPr>
                <w:i/>
              </w:rPr>
              <w:t>Approval of a non-binding instrument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26660FE0" w14:textId="77777777" w:rsidR="001F1D93" w:rsidRPr="001F1D93" w:rsidRDefault="001F1D93" w:rsidP="001F1D93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347BDBF8" w14:textId="77777777" w:rsidR="001F1D93" w:rsidRDefault="001F1D93" w:rsidP="001F1D93">
            <w:r>
              <w:t>15620/25</w:t>
            </w:r>
          </w:p>
          <w:p w14:paraId="0EB27989" w14:textId="77777777" w:rsidR="001F1D93" w:rsidRPr="001F1D93" w:rsidRDefault="001F1D93" w:rsidP="001F1D93">
            <w:r>
              <w:t>TELECOM</w:t>
            </w:r>
          </w:p>
        </w:tc>
      </w:tr>
      <w:tr w:rsidR="007D66C1" w:rsidRPr="007D66C1" w14:paraId="133FBDC4" w14:textId="77777777" w:rsidTr="00F643F9">
        <w:tc>
          <w:tcPr>
            <w:tcW w:w="7030" w:type="dxa"/>
            <w:tcMar>
              <w:top w:w="284" w:type="dxa"/>
            </w:tcMar>
          </w:tcPr>
          <w:p w14:paraId="7A972497" w14:textId="77777777" w:rsidR="007D66C1" w:rsidRDefault="007D66C1" w:rsidP="007D66C1">
            <w:r>
              <w:t>Joint Statement of the first meeting of the Canada</w:t>
            </w:r>
            <w:r w:rsidR="00C20486">
              <w:t xml:space="preserve">-European Union </w:t>
            </w:r>
            <w:r>
              <w:t>Digital Partnership Council</w:t>
            </w:r>
            <w:r w:rsidR="00E768C0">
              <w:t xml:space="preserve"> (</w:t>
            </w:r>
            <w:r w:rsidR="00C20486">
              <w:t>Montreal</w:t>
            </w:r>
            <w:r w:rsidR="00E768C0" w:rsidRPr="00403E70">
              <w:t>,</w:t>
            </w:r>
            <w:r w:rsidR="00E768C0">
              <w:t xml:space="preserve"> </w:t>
            </w:r>
            <w:r>
              <w:t>8 December 2025</w:t>
            </w:r>
            <w:r w:rsidR="00E768C0">
              <w:t>)</w:t>
            </w:r>
          </w:p>
          <w:p w14:paraId="13639DAF" w14:textId="77777777" w:rsidR="007D66C1" w:rsidRPr="007D66C1" w:rsidRDefault="007D66C1" w:rsidP="007D66C1">
            <w:r w:rsidRPr="007D66C1">
              <w:rPr>
                <w:i/>
              </w:rPr>
              <w:t>Approval of a non-binding instrument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6FA4FA8B" w14:textId="77777777" w:rsidR="007D66C1" w:rsidRPr="007D66C1" w:rsidRDefault="007D66C1" w:rsidP="007D66C1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272C9AA3" w14:textId="77777777" w:rsidR="007D66C1" w:rsidRDefault="007D66C1" w:rsidP="007D66C1">
            <w:r>
              <w:t>15632/25</w:t>
            </w:r>
          </w:p>
          <w:p w14:paraId="753527AB" w14:textId="77777777" w:rsidR="007D66C1" w:rsidRPr="007D66C1" w:rsidRDefault="007D66C1" w:rsidP="007D66C1">
            <w:r>
              <w:t>TELECOM</w:t>
            </w:r>
          </w:p>
        </w:tc>
      </w:tr>
      <w:tr w:rsidR="00584908" w:rsidRPr="00584908" w14:paraId="3380FD35" w14:textId="77777777" w:rsidTr="00F643F9">
        <w:tc>
          <w:tcPr>
            <w:tcW w:w="7030" w:type="dxa"/>
            <w:tcMar>
              <w:top w:w="284" w:type="dxa"/>
            </w:tcMar>
          </w:tcPr>
          <w:p w14:paraId="0F5FB863" w14:textId="77777777" w:rsidR="00584908" w:rsidRDefault="00584908" w:rsidP="00584908">
            <w:r>
              <w:t>Council of Europe Recommendation on online safety and empowerment of content creators and users</w:t>
            </w:r>
          </w:p>
          <w:p w14:paraId="66315992" w14:textId="77777777" w:rsidR="00584908" w:rsidRPr="00584908" w:rsidRDefault="00584908" w:rsidP="00584908">
            <w:r w:rsidRPr="00584908">
              <w:rPr>
                <w:i/>
              </w:rPr>
              <w:t>Approval of a non-binding instrument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0E462B4E" w14:textId="77777777" w:rsidR="00584908" w:rsidRPr="00584908" w:rsidRDefault="00584908" w:rsidP="00584908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34F80D14" w14:textId="77777777" w:rsidR="00584908" w:rsidRDefault="00584908" w:rsidP="00584908">
            <w:r>
              <w:t>15446/25</w:t>
            </w:r>
          </w:p>
          <w:p w14:paraId="2B1A8585" w14:textId="77777777" w:rsidR="00584908" w:rsidRPr="00584908" w:rsidRDefault="00584908" w:rsidP="00584908">
            <w:r>
              <w:t>TELECOM</w:t>
            </w:r>
          </w:p>
        </w:tc>
      </w:tr>
    </w:tbl>
    <w:p w14:paraId="767EB570" w14:textId="77777777" w:rsidR="00781646" w:rsidRDefault="00781646" w:rsidP="00781646">
      <w:pPr>
        <w:pStyle w:val="ImageLine"/>
      </w:pPr>
    </w:p>
    <w:p w14:paraId="76038C0F" w14:textId="77777777" w:rsidR="006767F2" w:rsidRPr="000554CA" w:rsidRDefault="006767F2" w:rsidP="006767F2">
      <w:pPr>
        <w:pStyle w:val="Image"/>
      </w:pPr>
      <w:r w:rsidRPr="000554CA">
        <w:rPr>
          <w:noProof/>
          <w:lang w:eastAsia="en-GB"/>
        </w:rPr>
        <w:drawing>
          <wp:inline distT="0" distB="0" distL="0" distR="0" wp14:anchorId="02E4AB81" wp14:editId="19942757">
            <wp:extent cx="172442" cy="172442"/>
            <wp:effectExtent l="0" t="0" r="0" b="0"/>
            <wp:docPr id="1" name="Picture 1" descr="First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54CA">
        <w:tab/>
        <w:t>First reading</w:t>
      </w:r>
    </w:p>
    <w:p w14:paraId="01211DC1" w14:textId="77777777" w:rsidR="00781646" w:rsidRPr="00D60CBD" w:rsidRDefault="006767F2" w:rsidP="006767F2">
      <w:pPr>
        <w:pStyle w:val="Image"/>
      </w:pPr>
      <w:r w:rsidRPr="000554CA">
        <w:rPr>
          <w:noProof/>
          <w:lang w:eastAsia="en-GB"/>
        </w:rPr>
        <w:drawing>
          <wp:inline distT="0" distB="0" distL="0" distR="0" wp14:anchorId="63B60647" wp14:editId="591BC22F">
            <wp:extent cx="172442" cy="172442"/>
            <wp:effectExtent l="0" t="0" r="0" b="0"/>
            <wp:docPr id="2" name="Picture 2" descr="Second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54CA">
        <w:tab/>
      </w:r>
      <w:r w:rsidRPr="00D60CBD">
        <w:t>Second reading</w:t>
      </w:r>
    </w:p>
    <w:p w14:paraId="6E7F23CB" w14:textId="77777777" w:rsidR="00781646" w:rsidRPr="00D60CBD" w:rsidRDefault="006805B0" w:rsidP="00781646">
      <w:pPr>
        <w:pStyle w:val="Image"/>
      </w:pPr>
      <w:r>
        <w:pict w14:anchorId="18F57099">
          <v:shape id="_x0000_i1028" type="#_x0000_t75" alt="Silence procedure (Article 12(2) of the Council's Rules of Procedure)" style="width:13.8pt;height:13.8pt;visibility:visible;mso-wrap-style:square">
            <v:imagedata r:id="rId14" o:title="Silence procedure (Article 12(2) of the Council's Rules of Procedure)"/>
          </v:shape>
        </w:pict>
      </w:r>
      <w:r w:rsidR="00781646" w:rsidRPr="00D60CBD">
        <w:tab/>
        <w:t>Silence procedure (Article 12(2) of the Council's Rules of Procedure)</w:t>
      </w:r>
    </w:p>
    <w:p w14:paraId="1E8D02CF" w14:textId="77777777" w:rsidR="00EB48F3" w:rsidRPr="00D60CBD" w:rsidRDefault="00EB48F3" w:rsidP="00EB48F3">
      <w:pPr>
        <w:pStyle w:val="Image"/>
      </w:pPr>
      <w:r w:rsidRPr="00D60CBD">
        <w:rPr>
          <w:noProof/>
          <w:lang w:eastAsia="en-GB"/>
        </w:rPr>
        <w:drawing>
          <wp:inline distT="0" distB="0" distL="0" distR="0" wp14:anchorId="1AED6A29" wp14:editId="210E72CD">
            <wp:extent cx="172442" cy="172442"/>
            <wp:effectExtent l="0" t="0" r="0" b="0"/>
            <wp:docPr id="8" name="Picture 8" descr="Procedural decision by Coreper (Article 19(3)&amp;(7) of the Council's Rules of Procedur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CBD">
        <w:tab/>
        <w:t xml:space="preserve">Procedural decision by </w:t>
      </w:r>
      <w:proofErr w:type="spellStart"/>
      <w:r w:rsidRPr="00D60CBD">
        <w:t>Coreper</w:t>
      </w:r>
      <w:proofErr w:type="spellEnd"/>
      <w:r w:rsidRPr="00D60CBD">
        <w:t xml:space="preserve"> (Article 19(</w:t>
      </w:r>
      <w:proofErr w:type="gramStart"/>
      <w:r w:rsidRPr="00D60CBD">
        <w:t>3)&amp;</w:t>
      </w:r>
      <w:proofErr w:type="gramEnd"/>
      <w:r w:rsidRPr="00D60CBD">
        <w:t>(7) of the Council's Rules of Procedure)</w:t>
      </w:r>
    </w:p>
    <w:p w14:paraId="22B178F9" w14:textId="77777777" w:rsidR="00781646" w:rsidRDefault="00781646" w:rsidP="00096432">
      <w:pPr>
        <w:pStyle w:val="Image"/>
        <w:keepNext/>
      </w:pPr>
      <w:r w:rsidRPr="00D60CBD">
        <w:rPr>
          <w:noProof/>
          <w:lang w:eastAsia="en-GB"/>
        </w:rPr>
        <w:drawing>
          <wp:inline distT="0" distB="0" distL="0" distR="0" wp14:anchorId="4256D606" wp14:editId="185D7CD3">
            <wp:extent cx="172442" cy="172442"/>
            <wp:effectExtent l="0" t="0" r="0" b="0"/>
            <wp:docPr id="10" name="Picture 10" descr="Item based on a Commission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CBD">
        <w:tab/>
        <w:t>Item based on a Commission proposal</w:t>
      </w:r>
    </w:p>
    <w:p w14:paraId="0D7A9DA9" w14:textId="77777777" w:rsidR="00781646" w:rsidRDefault="00781646" w:rsidP="00781646">
      <w:pPr>
        <w:pStyle w:val="FinalLine"/>
      </w:pPr>
    </w:p>
    <w:p w14:paraId="33FF0E86" w14:textId="77777777" w:rsidR="00772954" w:rsidRPr="00781646" w:rsidRDefault="00781646" w:rsidP="00781646">
      <w:pPr>
        <w:pStyle w:val="NB"/>
      </w:pPr>
      <w:r w:rsidRPr="00781646">
        <w:t>NB:</w:t>
      </w:r>
      <w:r w:rsidRPr="00781646">
        <w:tab/>
        <w:t>Council documents are available on Delegates Portal. Room attendants will provide copies on request at the earliest opportunity.</w:t>
      </w:r>
      <w:bookmarkEnd w:id="0"/>
    </w:p>
    <w:sectPr w:rsidR="00772954" w:rsidRPr="00781646" w:rsidSect="00096432">
      <w:headerReference w:type="default" r:id="rId16"/>
      <w:footerReference w:type="default" r:id="rId17"/>
      <w:headerReference w:type="first" r:id="rId18"/>
      <w:footerReference w:type="first" r:id="rId19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B740F" w14:textId="77777777" w:rsidR="00781646" w:rsidRDefault="00781646" w:rsidP="00B5488B">
      <w:r>
        <w:separator/>
      </w:r>
    </w:p>
  </w:endnote>
  <w:endnote w:type="continuationSeparator" w:id="0">
    <w:p w14:paraId="20ADA7CD" w14:textId="77777777" w:rsidR="00781646" w:rsidRDefault="00781646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w Roman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4F54B2" w:rsidRPr="00D94637" w14:paraId="7A060A0D" w14:textId="77777777" w:rsidTr="00D9463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14:paraId="248E169B" w14:textId="77777777" w:rsidR="00536BDB" w:rsidRPr="00D94637" w:rsidRDefault="00536BDB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4F54B2" w:rsidRPr="00B310DC" w14:paraId="419710B2" w14:textId="77777777" w:rsidTr="00842D7E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14:paraId="54BC9B71" w14:textId="77777777" w:rsidR="00536BDB" w:rsidRPr="00AD7BF2" w:rsidRDefault="00536BDB" w:rsidP="004F54B2">
          <w:pPr>
            <w:pStyle w:val="FooterText"/>
          </w:pPr>
          <w:r>
            <w:t>CM 5151/25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62A42EAB" w14:textId="77777777" w:rsidR="00536BDB" w:rsidRPr="00AD7BF2" w:rsidRDefault="00536BDB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14:paraId="4F9F302F" w14:textId="77777777" w:rsidR="00536BDB" w:rsidRPr="002511D8" w:rsidRDefault="00536BDB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290861A7" w14:textId="77777777" w:rsidR="00536BDB" w:rsidRPr="00B310DC" w:rsidRDefault="00536BDB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4F54B2" w:rsidRPr="00D94637" w14:paraId="43FB0D5B" w14:textId="77777777" w:rsidTr="00430704">
      <w:trPr>
        <w:jc w:val="center"/>
      </w:trPr>
      <w:tc>
        <w:tcPr>
          <w:tcW w:w="1774" w:type="pct"/>
          <w:shd w:val="clear" w:color="auto" w:fill="auto"/>
        </w:tcPr>
        <w:p w14:paraId="5B684C03" w14:textId="77777777" w:rsidR="00536BDB" w:rsidRPr="00AD7BF2" w:rsidRDefault="00536BDB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14:paraId="4B38F6A4" w14:textId="77777777" w:rsidR="00536BDB" w:rsidRPr="00AD7BF2" w:rsidRDefault="00536BDB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14:paraId="635ACC77" w14:textId="77777777" w:rsidR="00536BDB" w:rsidRPr="00D94637" w:rsidRDefault="00536BDB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2D62D7BC" w14:textId="77777777" w:rsidR="00536BDB" w:rsidRPr="00695BAF" w:rsidRDefault="00536BDB" w:rsidP="00D9463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2"/>
  </w:tbl>
  <w:p w14:paraId="113C2F88" w14:textId="77777777" w:rsidR="007B52FB" w:rsidRDefault="007B52FB">
    <w:pPr>
      <w:pStyle w:val="FooterCounci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EE25F8" w:rsidRPr="00D94637" w14:paraId="080E8BE4" w14:textId="77777777" w:rsidTr="00965E25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14:paraId="7884571A" w14:textId="77777777" w:rsidR="00536BDB" w:rsidRPr="00D94637" w:rsidRDefault="00536BDB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3" w:name="FOOTER_COREPER_COUNCIL"/>
        </w:p>
      </w:tc>
    </w:tr>
    <w:tr w:rsidR="00EE25F8" w:rsidRPr="00B310DC" w14:paraId="02A30206" w14:textId="77777777" w:rsidTr="008B51DF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14:paraId="31195EA7" w14:textId="77777777" w:rsidR="00536BDB" w:rsidRPr="00AD7BF2" w:rsidRDefault="00536BDB" w:rsidP="00965E25">
          <w:pPr>
            <w:pStyle w:val="FooterText"/>
          </w:pPr>
          <w:r>
            <w:t>CM 5151/25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355108AE" w14:textId="77777777" w:rsidR="00536BDB" w:rsidRPr="00AD7BF2" w:rsidRDefault="00536BDB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14:paraId="00C6D727" w14:textId="77777777" w:rsidR="00536BDB" w:rsidRPr="002511D8" w:rsidRDefault="00536BDB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6738A1C5" w14:textId="77777777" w:rsidR="00536BDB" w:rsidRPr="00B310DC" w:rsidRDefault="00536BDB" w:rsidP="00965E25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8B51DF" w:rsidRPr="00D94637" w14:paraId="4A6CD229" w14:textId="77777777" w:rsidTr="008B51DF">
      <w:trPr>
        <w:jc w:val="center"/>
      </w:trPr>
      <w:tc>
        <w:tcPr>
          <w:tcW w:w="3230" w:type="pct"/>
          <w:gridSpan w:val="3"/>
          <w:shd w:val="clear" w:color="auto" w:fill="auto"/>
        </w:tcPr>
        <w:p w14:paraId="42915DFF" w14:textId="77777777" w:rsidR="00536BDB" w:rsidRPr="00E37908" w:rsidRDefault="00536BDB" w:rsidP="008B51DF">
          <w:pPr>
            <w:pStyle w:val="FooterText"/>
            <w:spacing w:before="40"/>
            <w:rPr>
              <w:lang w:val="fr-FR"/>
            </w:rPr>
          </w:pPr>
          <w:proofErr w:type="gramStart"/>
          <w:r>
            <w:rPr>
              <w:lang w:val="fr-FR"/>
            </w:rPr>
            <w:t>Contact:</w:t>
          </w:r>
          <w:proofErr w:type="gramEnd"/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coreper.1@consilium.europa.eu</w:t>
          </w:r>
        </w:p>
      </w:tc>
      <w:tc>
        <w:tcPr>
          <w:tcW w:w="742" w:type="pct"/>
          <w:shd w:val="clear" w:color="auto" w:fill="auto"/>
        </w:tcPr>
        <w:p w14:paraId="5DCFD3DB" w14:textId="77777777" w:rsidR="00536BDB" w:rsidRPr="00D94637" w:rsidRDefault="00536BDB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08FF6FB3" w14:textId="77777777" w:rsidR="00536BDB" w:rsidRPr="00695BAF" w:rsidRDefault="00536BDB" w:rsidP="00965E25">
          <w:pPr>
            <w:pStyle w:val="FooterText"/>
            <w:jc w:val="right"/>
            <w:rPr>
              <w:caps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3"/>
  </w:tbl>
  <w:p w14:paraId="4BC74835" w14:textId="77777777" w:rsidR="007B52FB" w:rsidRDefault="007B52FB">
    <w:pPr>
      <w:pStyle w:val="FooterCounci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D82C" w14:textId="77777777" w:rsidR="00781646" w:rsidRDefault="00781646" w:rsidP="00B5488B">
      <w:r>
        <w:separator/>
      </w:r>
    </w:p>
  </w:footnote>
  <w:footnote w:type="continuationSeparator" w:id="0">
    <w:p w14:paraId="42EC345D" w14:textId="77777777" w:rsidR="00781646" w:rsidRDefault="00781646" w:rsidP="00B5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5B2B" w14:textId="77777777" w:rsidR="007B52FB" w:rsidRDefault="00536BDB">
    <w:pPr>
      <w:pStyle w:val="HeaderCouncilLarge"/>
    </w:pPr>
    <w: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83C0" w14:textId="77777777" w:rsidR="007B52FB" w:rsidRDefault="00536BDB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First reading" style="width:12pt;height:12pt;visibility:visible;mso-wrap-style:square" o:bullet="t">
        <v:imagedata r:id="rId1" o:title="First reading"/>
      </v:shape>
    </w:pict>
  </w:numPicBullet>
  <w:numPicBullet w:numPicBulletId="1">
    <w:pict>
      <v:shape id="Picture 7" o:spid="_x0000_i1027" type="#_x0000_t75" alt="Silence procedure (Article 12(2) of the Council's Rules of Procedure)" style="width:13.8pt;height:13.8pt;visibility:visible;mso-wrap-style:square" o:bullet="t">
        <v:imagedata r:id="rId2" o:title="Silence procedure (Article 12(2) of the Council's Rules of Procedure)"/>
      </v:shape>
    </w:pict>
  </w:numPicBullet>
  <w:abstractNum w:abstractNumId="0" w15:restartNumberingAfterBreak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" w15:restartNumberingAfterBreak="0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2" w15:restartNumberingAfterBreak="0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3" w15:restartNumberingAfterBreak="0">
    <w:nsid w:val="0F0A1EFF"/>
    <w:multiLevelType w:val="multilevel"/>
    <w:tmpl w:val="88B2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5" w15:restartNumberingAfterBreak="0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6" w15:restartNumberingAfterBreak="0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7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8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9" w15:restartNumberingAfterBreak="0">
    <w:nsid w:val="43457FFC"/>
    <w:multiLevelType w:val="hybridMultilevel"/>
    <w:tmpl w:val="C8B6623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11" w15:restartNumberingAfterBreak="0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2" w15:restartNumberingAfterBreak="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3" w15:restartNumberingAfterBreak="0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4" w15:restartNumberingAfterBreak="0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5" w15:restartNumberingAfterBreak="0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6" w15:restartNumberingAfterBreak="0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7" w15:restartNumberingAfterBreak="0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18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9" w15:restartNumberingAfterBreak="0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20" w15:restartNumberingAfterBreak="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1" w15:restartNumberingAfterBreak="0">
    <w:nsid w:val="75434FB3"/>
    <w:multiLevelType w:val="hybridMultilevel"/>
    <w:tmpl w:val="B7248D2C"/>
    <w:lvl w:ilvl="0" w:tplc="495A7C58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3" w15:restartNumberingAfterBreak="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24" w15:restartNumberingAfterBreak="0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 w16cid:durableId="305667212">
    <w:abstractNumId w:val="18"/>
  </w:num>
  <w:num w:numId="2" w16cid:durableId="2119593473">
    <w:abstractNumId w:val="1"/>
  </w:num>
  <w:num w:numId="3" w16cid:durableId="773944892">
    <w:abstractNumId w:val="19"/>
  </w:num>
  <w:num w:numId="4" w16cid:durableId="13239749">
    <w:abstractNumId w:val="15"/>
  </w:num>
  <w:num w:numId="5" w16cid:durableId="1969701886">
    <w:abstractNumId w:val="2"/>
  </w:num>
  <w:num w:numId="6" w16cid:durableId="1281953956">
    <w:abstractNumId w:val="22"/>
  </w:num>
  <w:num w:numId="7" w16cid:durableId="653992134">
    <w:abstractNumId w:val="24"/>
  </w:num>
  <w:num w:numId="8" w16cid:durableId="1637490113">
    <w:abstractNumId w:val="12"/>
  </w:num>
  <w:num w:numId="9" w16cid:durableId="1842505896">
    <w:abstractNumId w:val="20"/>
  </w:num>
  <w:num w:numId="10" w16cid:durableId="437139990">
    <w:abstractNumId w:val="16"/>
  </w:num>
  <w:num w:numId="11" w16cid:durableId="154152245">
    <w:abstractNumId w:val="10"/>
  </w:num>
  <w:num w:numId="12" w16cid:durableId="158086103">
    <w:abstractNumId w:val="6"/>
  </w:num>
  <w:num w:numId="13" w16cid:durableId="175996387">
    <w:abstractNumId w:val="5"/>
  </w:num>
  <w:num w:numId="14" w16cid:durableId="1355689013">
    <w:abstractNumId w:val="17"/>
  </w:num>
  <w:num w:numId="15" w16cid:durableId="454451786">
    <w:abstractNumId w:val="23"/>
  </w:num>
  <w:num w:numId="16" w16cid:durableId="1093210748">
    <w:abstractNumId w:val="0"/>
  </w:num>
  <w:num w:numId="17" w16cid:durableId="818032378">
    <w:abstractNumId w:val="7"/>
  </w:num>
  <w:num w:numId="18" w16cid:durableId="1521896207">
    <w:abstractNumId w:val="4"/>
  </w:num>
  <w:num w:numId="19" w16cid:durableId="373505270">
    <w:abstractNumId w:val="13"/>
  </w:num>
  <w:num w:numId="20" w16cid:durableId="308949726">
    <w:abstractNumId w:val="8"/>
  </w:num>
  <w:num w:numId="21" w16cid:durableId="2112433608">
    <w:abstractNumId w:val="9"/>
  </w:num>
  <w:num w:numId="22" w16cid:durableId="505824679">
    <w:abstractNumId w:val="3"/>
  </w:num>
  <w:num w:numId="23" w16cid:durableId="2434136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uncil" w:val="true"/>
    <w:docVar w:name="DocuWriteMetaData" w:val="&lt;metadataset docuwriteversion=&quot;4.13.1&quot; technicalblockguid=&quot;5429561924930571193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CustomFootnote&quot; /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GName&quot; /&gt;_x000d__x000a_  &lt;metadata key=&quot;md_ContributingServic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25-11-19&lt;/text&gt;_x000d__x000a_  &lt;/metadata&gt;_x000d__x000a_  &lt;metadata key=&quot;md_Prefix&quot;&gt;_x000d__x000a_    &lt;text&gt;CM&lt;/text&gt;_x000d__x000a_  &lt;/metadata&gt;_x000d__x000a_  &lt;metadata key=&quot;md_DocumentNumber&quot;&gt;_x000d__x000a_    &lt;text&gt;5151&lt;/text&gt;_x000d__x000a_  &lt;/metadata&gt;_x000d__x000a_  &lt;metadata key=&quot;md_YearDocumentNumber&quot;&gt;_x000d__x000a_    &lt;text&gt;2025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RP1&lt;/text&gt;_x000d__x000a_    &lt;/textlist&gt;_x000d__x000a_  &lt;/metadata&gt;_x000d__x000a_  &lt;metadata key=&quot;md_ThirdPartyDistributionMarkers&quot;&gt;_x000d__x000a_    &lt;textlist /&gt;_x000d__x000a_  &lt;/metadata&gt;_x000d__x000a_  &lt;metadata key=&quot;md_Contact&quot;&gt;_x000d__x000a_    &lt;text&gt;coreper.1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&gt;_x000d__x000a_    &lt;presidents /&gt;_x000d__x000a_  &lt;/metadata&gt;_x000d__x000a_  &lt;metadata key=&quot;md_MeetingNumber&quot;&gt;_x000d__x000a_    &lt;text&gt;3009&lt;/text&gt;_x000d__x000a_  &lt;/metadata&gt;_x000d__x000a_  &lt;metadata key=&quot;md_CouncilConfiguration&quot;&gt;_x000d__x000a_    &lt;basicdatatype&gt;_x000d__x000a_      &lt;text&gt;&lt;/text&gt;_x000d__x000a_    &lt;/basicdatatype&gt;_x000d__x000a_  &lt;/metadata&gt;_x000d__x000a_  &lt;metadata key=&quot;md_CouncilIssue&quot;&gt;_x000d__x000a_    &lt;text&gt;&lt;/text&gt;_x000d__x000a_  &lt;/metadata&gt;_x000d__x000a_  &lt;metadata key=&quot;md_PhoneNumber&quot; /&gt;_x000d__x000a_  &lt;metadata key=&quot;md_TypeOfHeading&quot;&gt;_x000d__x000a_    &lt;basicdatatype&gt;_x000d__x000a_      &lt;typeofheading key=&quot;typeofhead_64&quot; text=&quot;Coreper Meeting&quot; /&gt;_x000d__x000a_    &lt;/basicdatatype&gt;_x000d__x000a_  &lt;/metadata&gt;_x000d__x000a_  &lt;metadata key=&quot;md_ReplyName&quot; /&gt;_x000d__x000a_  &lt;metadata key=&quot;md_EPQuestionsData&quot;&gt;_x000d__x000a_    &lt;questions /&gt;_x000d__x000a_  &lt;/metadata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text&gt;&lt;/text&gt;_x000d__x000a_    &lt;/basicdatatype&gt;_x000d__x000a_  &lt;/metadata&gt;_x000d__x000a_  &lt;metadata key=&quot;md_Recipient&quot;&gt;_x000d__x000a_    &lt;basicdatatype&gt;_x000d__x000a_      &lt;text&gt;&lt;/text&gt;_x000d__x000a_    &lt;/basicdatatype&gt;_x000d__x000a_  &lt;/metadata&gt;_x000d__x000a_  &lt;metadata key=&quot;md_DateOfReceipt&quot; /&gt;_x000d__x000a_  &lt;metadata key=&quot;md_FreeDate&quot; /&gt;_x000d__x000a_  &lt;metadata key=&quot;md_PrecedingDocuments&quot;&gt;_x000d__x000a_    &lt;textlist /&gt;_x000d__x000a_  &lt;/metadata&gt;_x000d__x000a_  &lt;metadata key=&quot;md_CommissionDocuments&quot;&gt;_x000d__x000a_    &lt;textlist /&gt;_x000d__x000a_  &lt;/metadata&gt;_x000d__x000a_  &lt;metadata key=&quot;md_DocForDWNDCL&quot;&gt;_x000d__x000a_    &lt;text&gt;&lt;/text&gt;_x000d__x000a_  &lt;/metadata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&gt;_x000d__x000a_    &lt;text&gt;&lt;/text&gt;_x000d__x000a_  &lt;/metadata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PERMANENT REPRESENTATIVES COMMITTEE (Part 1)&quot;&gt;&amp;lt;FlowDocument FontFamily=&quot;Segoe UI&quot; FontSize=&quot;12&quot; PagePadding=&quot;2,2,2,2&quot; AllowDrop=&quot;False&quot; xmlns=&quot;http://schemas.microsoft.com/winfx/2006/xaml/presentation&quot;&amp;gt;&amp;lt;Paragraph&amp;gt;PERMANENT REPRESENTATIVES COMMITTEE (Part 1)&amp;lt;/Paragraph&amp;gt;&amp;lt;/FlowDocument&amp;gt;&lt;/xaml&gt;_x000d__x000a_  &lt;/metadata&gt;_x000d__x000a_  &lt;metadata key=&quot;md_SubjectFootnote&quot; /&gt;_x000d__x000a_  &lt;metadata key=&quot;md_DG&quot;&gt;_x000d__x000a_    &lt;text&gt;&lt;/text&gt;_x000d__x000a_  &lt;/metadata&gt;_x000d__x000a_  &lt;metadata key=&quot;md_Initials&quot;&gt;_x000d__x000a_    &lt;text&gt;&lt;/text&gt;_x000d__x000a_  &lt;/metadata&gt;_x000d__x000a_  &lt;metadata key=&quot;md_SensitivityLabel&quot;&gt;_x000d__x000a_    &lt;basicdatatype&gt;_x000d__x000a_      &lt;sensitivity_label key=&quot;senslabel_01&quot; text=&quot;PUBLIC&quot; labelid=&quot;af60b174-6478-47f9-866e-33f097bb6603&quot; siteid=&quot;03ad1c97-0a4d-4e82-8f93-27291a6a0767&quot; isdefault=&quot;false&quot; /&gt;_x000d__x000a_    &lt;/basicdatatype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2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true&lt;/text&gt;_x000d__x000a_  &lt;/metadata&gt;_x000d__x000a_  &lt;metadata key=&quot;md_NB2&quot;&gt;_x000d__x000a_    &lt;text&gt;fals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NB5&quot; /&gt;_x000d__x000a_  &lt;metadata key=&quot;md_CustomNB&quot; /&gt;_x000d__x000a_  &lt;metadata key=&quot;md_Meetings&quot;&gt;_x000d__x000a_    &lt;meetings&gt;_x000d__x000a_      &lt;meeting date=&quot;2025-11-26T10:00:00&quot;&gt;_x000d__x000a_        &lt;meetingvenue&gt;_x000d__x000a_          &lt;basicdatatype&gt;_x000d__x000a_            &lt;meetingvenue key=&quot;mw_08&quot; text=&quot;Europa building, Brussels&quot; /&gt;_x000d__x000a_          &lt;/basicdatatype&gt;_x000d__x000a_        &lt;/meetingvenue&gt;_x000d__x000a_      &lt;/meeting&gt;_x000d__x000a_      &lt;meeting date=&quot;2025-11-28T18:00:00&quot;&gt;_x000d__x000a_        &lt;meetingvenue&gt;_x000d__x000a_          &lt;basicdatatype&gt;_x000d__x000a_            &lt;meetingvenue key=&quot;mw_08&quot; text=&quot;Europa building, 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&gt;_x000d__x000a_    &lt;letterdata letterid=&quot;&quot; tag=&quot;&quot; /&gt;_x000d__x000a_  &lt;/metadata&gt;_x000d__x000a_  &lt;metadata key=&quot;md_InstFrSubWordmark&quot;&gt;_x000d__x000a_    &lt;xaml text=&quot;&quot;&gt;&amp;lt;FlowDocument FontFamily=&quot;Arial Unicode MS&quot; FontSize=&quot;1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AutoOpen" w:val="True"/>
    <w:docVar w:name="DW_DocType" w:val="DW_AGENDA2"/>
    <w:docVar w:name="DW_DQC_HasErrors" w:val="true"/>
    <w:docVar w:name="DW_TechnicalBlockHash" w:val="db12503423772010d9a1cdd5ba52cd2ccee757f6370f86de90c37a89260b549e"/>
  </w:docVars>
  <w:rsids>
    <w:rsidRoot w:val="00781646"/>
    <w:rsid w:val="0001163A"/>
    <w:rsid w:val="000129F7"/>
    <w:rsid w:val="00034C7E"/>
    <w:rsid w:val="000377BD"/>
    <w:rsid w:val="0007351F"/>
    <w:rsid w:val="00082AC6"/>
    <w:rsid w:val="00090919"/>
    <w:rsid w:val="00096432"/>
    <w:rsid w:val="000D5165"/>
    <w:rsid w:val="000E2267"/>
    <w:rsid w:val="000E66E1"/>
    <w:rsid w:val="000F03C1"/>
    <w:rsid w:val="00123C69"/>
    <w:rsid w:val="00153117"/>
    <w:rsid w:val="00185ABC"/>
    <w:rsid w:val="001A48A8"/>
    <w:rsid w:val="001C7D4D"/>
    <w:rsid w:val="001F0ED0"/>
    <w:rsid w:val="001F11A4"/>
    <w:rsid w:val="001F1D93"/>
    <w:rsid w:val="002264A1"/>
    <w:rsid w:val="00240E96"/>
    <w:rsid w:val="00240FFA"/>
    <w:rsid w:val="0027052E"/>
    <w:rsid w:val="00273DAB"/>
    <w:rsid w:val="00273EB3"/>
    <w:rsid w:val="0028490F"/>
    <w:rsid w:val="002A1872"/>
    <w:rsid w:val="002F6671"/>
    <w:rsid w:val="0030696A"/>
    <w:rsid w:val="00312601"/>
    <w:rsid w:val="00326C08"/>
    <w:rsid w:val="00331ED9"/>
    <w:rsid w:val="00336822"/>
    <w:rsid w:val="003454B3"/>
    <w:rsid w:val="0034687F"/>
    <w:rsid w:val="00357C71"/>
    <w:rsid w:val="003758B7"/>
    <w:rsid w:val="003832D1"/>
    <w:rsid w:val="003A5EF4"/>
    <w:rsid w:val="003B0003"/>
    <w:rsid w:val="003C1835"/>
    <w:rsid w:val="003F437B"/>
    <w:rsid w:val="00403E70"/>
    <w:rsid w:val="00416DD1"/>
    <w:rsid w:val="00421DAC"/>
    <w:rsid w:val="004373D2"/>
    <w:rsid w:val="004574AB"/>
    <w:rsid w:val="0046027C"/>
    <w:rsid w:val="00471774"/>
    <w:rsid w:val="00474703"/>
    <w:rsid w:val="0048549C"/>
    <w:rsid w:val="004A4D19"/>
    <w:rsid w:val="004B5010"/>
    <w:rsid w:val="004C60B7"/>
    <w:rsid w:val="004D226A"/>
    <w:rsid w:val="00511CFE"/>
    <w:rsid w:val="0051236B"/>
    <w:rsid w:val="00524F16"/>
    <w:rsid w:val="00536BDB"/>
    <w:rsid w:val="00546854"/>
    <w:rsid w:val="00554B9E"/>
    <w:rsid w:val="00554C2F"/>
    <w:rsid w:val="00571946"/>
    <w:rsid w:val="005817DE"/>
    <w:rsid w:val="00584908"/>
    <w:rsid w:val="0059449E"/>
    <w:rsid w:val="005A3249"/>
    <w:rsid w:val="005B007E"/>
    <w:rsid w:val="005C3952"/>
    <w:rsid w:val="005D0922"/>
    <w:rsid w:val="005F2EAE"/>
    <w:rsid w:val="00605004"/>
    <w:rsid w:val="006213F4"/>
    <w:rsid w:val="00631C31"/>
    <w:rsid w:val="006338B0"/>
    <w:rsid w:val="0063757D"/>
    <w:rsid w:val="0064000D"/>
    <w:rsid w:val="00661492"/>
    <w:rsid w:val="006640B2"/>
    <w:rsid w:val="0066451D"/>
    <w:rsid w:val="00664858"/>
    <w:rsid w:val="00665A71"/>
    <w:rsid w:val="00670F72"/>
    <w:rsid w:val="006767F2"/>
    <w:rsid w:val="006805B0"/>
    <w:rsid w:val="00696B6B"/>
    <w:rsid w:val="006A56F8"/>
    <w:rsid w:val="006D2414"/>
    <w:rsid w:val="006D7D82"/>
    <w:rsid w:val="007104CA"/>
    <w:rsid w:val="00712DA9"/>
    <w:rsid w:val="00724066"/>
    <w:rsid w:val="00741DC3"/>
    <w:rsid w:val="00754FA4"/>
    <w:rsid w:val="00764769"/>
    <w:rsid w:val="007714DC"/>
    <w:rsid w:val="00772954"/>
    <w:rsid w:val="00781646"/>
    <w:rsid w:val="007847D6"/>
    <w:rsid w:val="007A2EFF"/>
    <w:rsid w:val="007A3EC3"/>
    <w:rsid w:val="007A4028"/>
    <w:rsid w:val="007B52FB"/>
    <w:rsid w:val="007D66C1"/>
    <w:rsid w:val="007F6E78"/>
    <w:rsid w:val="008146F9"/>
    <w:rsid w:val="00834AC1"/>
    <w:rsid w:val="00834D05"/>
    <w:rsid w:val="008465AE"/>
    <w:rsid w:val="00855456"/>
    <w:rsid w:val="008572D5"/>
    <w:rsid w:val="008577AE"/>
    <w:rsid w:val="00894FAC"/>
    <w:rsid w:val="008A1A81"/>
    <w:rsid w:val="008A665F"/>
    <w:rsid w:val="008B09A1"/>
    <w:rsid w:val="008D3C9E"/>
    <w:rsid w:val="008E6EBD"/>
    <w:rsid w:val="008F7C69"/>
    <w:rsid w:val="00915341"/>
    <w:rsid w:val="00933087"/>
    <w:rsid w:val="009620DC"/>
    <w:rsid w:val="00984235"/>
    <w:rsid w:val="009930AF"/>
    <w:rsid w:val="0099598C"/>
    <w:rsid w:val="009F5D8A"/>
    <w:rsid w:val="00A00C05"/>
    <w:rsid w:val="00A107EA"/>
    <w:rsid w:val="00A22B2F"/>
    <w:rsid w:val="00A31007"/>
    <w:rsid w:val="00A500D9"/>
    <w:rsid w:val="00A56CB9"/>
    <w:rsid w:val="00A66B4B"/>
    <w:rsid w:val="00A778FA"/>
    <w:rsid w:val="00A83A6F"/>
    <w:rsid w:val="00A9478B"/>
    <w:rsid w:val="00AB024E"/>
    <w:rsid w:val="00AC4EC8"/>
    <w:rsid w:val="00AD542B"/>
    <w:rsid w:val="00B32649"/>
    <w:rsid w:val="00B379B0"/>
    <w:rsid w:val="00B42FC1"/>
    <w:rsid w:val="00B5101F"/>
    <w:rsid w:val="00B52D94"/>
    <w:rsid w:val="00B5488B"/>
    <w:rsid w:val="00B61431"/>
    <w:rsid w:val="00B676DE"/>
    <w:rsid w:val="00BA1DBD"/>
    <w:rsid w:val="00BB15A8"/>
    <w:rsid w:val="00BB19CD"/>
    <w:rsid w:val="00BB562F"/>
    <w:rsid w:val="00BD7C24"/>
    <w:rsid w:val="00BE5534"/>
    <w:rsid w:val="00BF7358"/>
    <w:rsid w:val="00C02778"/>
    <w:rsid w:val="00C06A70"/>
    <w:rsid w:val="00C06CF1"/>
    <w:rsid w:val="00C1226F"/>
    <w:rsid w:val="00C20486"/>
    <w:rsid w:val="00C433AF"/>
    <w:rsid w:val="00C5058D"/>
    <w:rsid w:val="00C538B1"/>
    <w:rsid w:val="00C65166"/>
    <w:rsid w:val="00C662C8"/>
    <w:rsid w:val="00C92A53"/>
    <w:rsid w:val="00C935AD"/>
    <w:rsid w:val="00C94565"/>
    <w:rsid w:val="00CB2BD5"/>
    <w:rsid w:val="00CC013E"/>
    <w:rsid w:val="00CC1BE1"/>
    <w:rsid w:val="00CC5868"/>
    <w:rsid w:val="00CE4399"/>
    <w:rsid w:val="00CE5BEC"/>
    <w:rsid w:val="00CE7984"/>
    <w:rsid w:val="00D30672"/>
    <w:rsid w:val="00D41458"/>
    <w:rsid w:val="00D43D27"/>
    <w:rsid w:val="00D60CBD"/>
    <w:rsid w:val="00D643DC"/>
    <w:rsid w:val="00D66B1E"/>
    <w:rsid w:val="00D7731A"/>
    <w:rsid w:val="00DC0F68"/>
    <w:rsid w:val="00DC7EF7"/>
    <w:rsid w:val="00DD7D5E"/>
    <w:rsid w:val="00DF7E4F"/>
    <w:rsid w:val="00E06DCF"/>
    <w:rsid w:val="00E17375"/>
    <w:rsid w:val="00E33CCE"/>
    <w:rsid w:val="00E430F5"/>
    <w:rsid w:val="00E52676"/>
    <w:rsid w:val="00E61BC0"/>
    <w:rsid w:val="00E768C0"/>
    <w:rsid w:val="00E80529"/>
    <w:rsid w:val="00E8251D"/>
    <w:rsid w:val="00E907DA"/>
    <w:rsid w:val="00E97007"/>
    <w:rsid w:val="00EA64DC"/>
    <w:rsid w:val="00EB2D3A"/>
    <w:rsid w:val="00EB48F3"/>
    <w:rsid w:val="00EE1F50"/>
    <w:rsid w:val="00EE3B78"/>
    <w:rsid w:val="00EF444B"/>
    <w:rsid w:val="00F003C6"/>
    <w:rsid w:val="00F10872"/>
    <w:rsid w:val="00F109B4"/>
    <w:rsid w:val="00F170A3"/>
    <w:rsid w:val="00F20255"/>
    <w:rsid w:val="00F234A2"/>
    <w:rsid w:val="00F270AF"/>
    <w:rsid w:val="00F33818"/>
    <w:rsid w:val="00F33BE2"/>
    <w:rsid w:val="00F378DC"/>
    <w:rsid w:val="00F63B62"/>
    <w:rsid w:val="00F67D61"/>
    <w:rsid w:val="00F83B8D"/>
    <w:rsid w:val="00F85473"/>
    <w:rsid w:val="00F91EB2"/>
    <w:rsid w:val="00F920CE"/>
    <w:rsid w:val="00FA4082"/>
    <w:rsid w:val="00FC1CD7"/>
    <w:rsid w:val="00FD4B37"/>
    <w:rsid w:val="00FE43CE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086B6"/>
  <w15:docId w15:val="{A6A126E6-C06F-41AD-897B-68BEBE42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88B"/>
    <w:pPr>
      <w:tabs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Title">
    <w:name w:val="Title"/>
    <w:basedOn w:val="Normal"/>
    <w:link w:val="TitleChar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21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OC1">
    <w:name w:val="toc 1"/>
    <w:basedOn w:val="Normal"/>
    <w:next w:val="Normal"/>
    <w:uiPriority w:val="39"/>
    <w:semiHidden/>
    <w:unhideWhenUsed/>
    <w:rsid w:val="006213F4"/>
    <w:pPr>
      <w:spacing w:before="180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OC9">
    <w:name w:val="toc 9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213F4"/>
    <w:pPr>
      <w:jc w:val="center"/>
    </w:pPr>
  </w:style>
  <w:style w:type="paragraph" w:customStyle="1" w:styleId="NormalRight">
    <w:name w:val="Normal Right"/>
    <w:basedOn w:val="Normal"/>
    <w:rsid w:val="006213F4"/>
    <w:pPr>
      <w:jc w:val="right"/>
    </w:pPr>
  </w:style>
  <w:style w:type="paragraph" w:customStyle="1" w:styleId="NormalJustified">
    <w:name w:val="Normal Justified"/>
    <w:basedOn w:val="Normal"/>
    <w:rsid w:val="006213F4"/>
    <w:pPr>
      <w:jc w:val="both"/>
    </w:pPr>
  </w:style>
  <w:style w:type="paragraph" w:customStyle="1" w:styleId="HeaderLandscape">
    <w:name w:val="HeaderLandscape"/>
    <w:basedOn w:val="Normal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basedOn w:val="DefaultParagraphFont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213F4"/>
    <w:rPr>
      <w:sz w:val="2"/>
    </w:rPr>
  </w:style>
  <w:style w:type="paragraph" w:customStyle="1" w:styleId="FooterCouncil">
    <w:name w:val="Footer Council"/>
    <w:basedOn w:val="Normal"/>
    <w:rsid w:val="006213F4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4373D2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213F4"/>
    <w:pPr>
      <w:ind w:left="567"/>
    </w:pPr>
  </w:style>
  <w:style w:type="paragraph" w:customStyle="1" w:styleId="Text2">
    <w:name w:val="Text 2"/>
    <w:basedOn w:val="Normal"/>
    <w:rsid w:val="006213F4"/>
    <w:pPr>
      <w:ind w:left="1134"/>
    </w:pPr>
  </w:style>
  <w:style w:type="paragraph" w:customStyle="1" w:styleId="Text3">
    <w:name w:val="Text 3"/>
    <w:basedOn w:val="Normal"/>
    <w:rsid w:val="006213F4"/>
    <w:pPr>
      <w:ind w:left="1701"/>
    </w:pPr>
  </w:style>
  <w:style w:type="paragraph" w:customStyle="1" w:styleId="Text4">
    <w:name w:val="Text 4"/>
    <w:basedOn w:val="Normal"/>
    <w:rsid w:val="006213F4"/>
    <w:pPr>
      <w:ind w:left="2268"/>
    </w:pPr>
  </w:style>
  <w:style w:type="paragraph" w:customStyle="1" w:styleId="Text5">
    <w:name w:val="Text 5"/>
    <w:basedOn w:val="Normal"/>
    <w:rsid w:val="006213F4"/>
    <w:pPr>
      <w:ind w:left="2835"/>
    </w:pPr>
  </w:style>
  <w:style w:type="paragraph" w:customStyle="1" w:styleId="Text6">
    <w:name w:val="Text 6"/>
    <w:basedOn w:val="Normal"/>
    <w:rsid w:val="006213F4"/>
    <w:pPr>
      <w:ind w:left="3402"/>
    </w:pPr>
  </w:style>
  <w:style w:type="paragraph" w:customStyle="1" w:styleId="PointManual">
    <w:name w:val="Point Manual"/>
    <w:basedOn w:val="Normal"/>
    <w:link w:val="PointManualChar"/>
    <w:rsid w:val="006213F4"/>
    <w:pPr>
      <w:ind w:left="567" w:hanging="567"/>
    </w:pPr>
  </w:style>
  <w:style w:type="paragraph" w:customStyle="1" w:styleId="PointManual1">
    <w:name w:val="Point Manual (1)"/>
    <w:basedOn w:val="Normal"/>
    <w:rsid w:val="006213F4"/>
    <w:pPr>
      <w:ind w:left="1134" w:hanging="567"/>
    </w:pPr>
  </w:style>
  <w:style w:type="paragraph" w:customStyle="1" w:styleId="PointManual2">
    <w:name w:val="Point Manual (2)"/>
    <w:basedOn w:val="Normal"/>
    <w:rsid w:val="006213F4"/>
    <w:pPr>
      <w:ind w:left="1701" w:hanging="567"/>
    </w:pPr>
  </w:style>
  <w:style w:type="paragraph" w:customStyle="1" w:styleId="PointManual3">
    <w:name w:val="Point Manual (3)"/>
    <w:basedOn w:val="Normal"/>
    <w:rsid w:val="006213F4"/>
    <w:pPr>
      <w:ind w:left="2268" w:hanging="567"/>
    </w:pPr>
  </w:style>
  <w:style w:type="paragraph" w:customStyle="1" w:styleId="PointManual4">
    <w:name w:val="Point Manual (4)"/>
    <w:basedOn w:val="Normal"/>
    <w:rsid w:val="006213F4"/>
    <w:pPr>
      <w:ind w:left="2835" w:hanging="567"/>
    </w:pPr>
  </w:style>
  <w:style w:type="paragraph" w:customStyle="1" w:styleId="PointDoubleManual">
    <w:name w:val="Point Double Manual"/>
    <w:basedOn w:val="Normal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Normal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Normal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Normal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Normal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Normal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Normal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Normal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Normal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Normal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Normal"/>
    <w:rsid w:val="006213F4"/>
    <w:pPr>
      <w:numPr>
        <w:numId w:val="16"/>
      </w:numPr>
    </w:pPr>
  </w:style>
  <w:style w:type="paragraph" w:customStyle="1" w:styleId="Point1231">
    <w:name w:val="Point 123 (1)"/>
    <w:basedOn w:val="Normal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Normal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Normal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Normal"/>
    <w:rsid w:val="006213F4"/>
    <w:pPr>
      <w:numPr>
        <w:numId w:val="17"/>
      </w:numPr>
    </w:pPr>
  </w:style>
  <w:style w:type="paragraph" w:customStyle="1" w:styleId="Pointivx1">
    <w:name w:val="Point ivx (1)"/>
    <w:basedOn w:val="Normal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Normal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Normal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Normal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Normal"/>
    <w:rsid w:val="006213F4"/>
    <w:pPr>
      <w:numPr>
        <w:numId w:val="11"/>
      </w:numPr>
    </w:pPr>
  </w:style>
  <w:style w:type="paragraph" w:customStyle="1" w:styleId="Bullet1">
    <w:name w:val="Bullet 1"/>
    <w:basedOn w:val="Normal"/>
    <w:rsid w:val="006213F4"/>
    <w:pPr>
      <w:numPr>
        <w:numId w:val="12"/>
      </w:numPr>
    </w:pPr>
  </w:style>
  <w:style w:type="paragraph" w:customStyle="1" w:styleId="Bullet2">
    <w:name w:val="Bullet 2"/>
    <w:basedOn w:val="Normal"/>
    <w:rsid w:val="006213F4"/>
    <w:pPr>
      <w:numPr>
        <w:numId w:val="13"/>
      </w:numPr>
    </w:pPr>
  </w:style>
  <w:style w:type="paragraph" w:customStyle="1" w:styleId="Bullet3">
    <w:name w:val="Bullet 3"/>
    <w:basedOn w:val="Normal"/>
    <w:rsid w:val="006213F4"/>
    <w:pPr>
      <w:numPr>
        <w:numId w:val="14"/>
      </w:numPr>
    </w:pPr>
  </w:style>
  <w:style w:type="paragraph" w:customStyle="1" w:styleId="Bullet4">
    <w:name w:val="Bullet 4"/>
    <w:basedOn w:val="Normal"/>
    <w:rsid w:val="006213F4"/>
    <w:pPr>
      <w:numPr>
        <w:numId w:val="15"/>
      </w:numPr>
    </w:pPr>
  </w:style>
  <w:style w:type="paragraph" w:customStyle="1" w:styleId="Dash">
    <w:name w:val="Dash"/>
    <w:basedOn w:val="Normal"/>
    <w:rsid w:val="006213F4"/>
    <w:pPr>
      <w:numPr>
        <w:numId w:val="1"/>
      </w:numPr>
    </w:pPr>
  </w:style>
  <w:style w:type="paragraph" w:customStyle="1" w:styleId="Dash1">
    <w:name w:val="Dash 1"/>
    <w:basedOn w:val="Normal"/>
    <w:rsid w:val="006213F4"/>
    <w:pPr>
      <w:numPr>
        <w:numId w:val="2"/>
      </w:numPr>
    </w:pPr>
  </w:style>
  <w:style w:type="paragraph" w:customStyle="1" w:styleId="Dash2">
    <w:name w:val="Dash 2"/>
    <w:basedOn w:val="Normal"/>
    <w:rsid w:val="006213F4"/>
    <w:pPr>
      <w:numPr>
        <w:numId w:val="3"/>
      </w:numPr>
    </w:pPr>
  </w:style>
  <w:style w:type="paragraph" w:customStyle="1" w:styleId="Dash3">
    <w:name w:val="Dash 3"/>
    <w:basedOn w:val="Normal"/>
    <w:rsid w:val="006213F4"/>
    <w:pPr>
      <w:numPr>
        <w:numId w:val="4"/>
      </w:numPr>
    </w:pPr>
  </w:style>
  <w:style w:type="paragraph" w:customStyle="1" w:styleId="Dash4">
    <w:name w:val="Dash 4"/>
    <w:basedOn w:val="Normal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DefaultParagraphFont"/>
    <w:rsid w:val="0034687F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Normal"/>
    <w:next w:val="Normal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213F4"/>
    <w:pPr>
      <w:jc w:val="center"/>
    </w:pPr>
  </w:style>
  <w:style w:type="paragraph" w:customStyle="1" w:styleId="HeadingIVX">
    <w:name w:val="Heading IVX"/>
    <w:basedOn w:val="HeadingLeft"/>
    <w:next w:val="Normal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Normal"/>
    <w:rsid w:val="006213F4"/>
    <w:pPr>
      <w:numPr>
        <w:numId w:val="20"/>
      </w:numPr>
    </w:pPr>
  </w:style>
  <w:style w:type="paragraph" w:customStyle="1" w:styleId="Image">
    <w:name w:val="Image"/>
    <w:basedOn w:val="Normal"/>
    <w:rsid w:val="006213F4"/>
    <w:pPr>
      <w:spacing w:after="120"/>
      <w:ind w:left="850" w:hanging="850"/>
    </w:pPr>
  </w:style>
  <w:style w:type="paragraph" w:customStyle="1" w:styleId="ImageLine">
    <w:name w:val="Image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Normal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Normal"/>
    <w:next w:val="Normal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Normal"/>
    <w:next w:val="Normal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213F4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Normal"/>
    <w:next w:val="Normal"/>
    <w:qFormat/>
    <w:rsid w:val="006213F4"/>
    <w:pPr>
      <w:spacing w:before="240"/>
    </w:pPr>
    <w:rPr>
      <w:b/>
      <w:u w:val="single"/>
    </w:rPr>
  </w:style>
  <w:style w:type="table" w:styleId="TableGrid">
    <w:name w:val="Table Grid"/>
    <w:basedOn w:val="TableNorma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HeaderCouncilLarge">
    <w:name w:val="Header Council Large"/>
    <w:basedOn w:val="Normal"/>
    <w:link w:val="HeaderCouncilLargeChar"/>
    <w:rsid w:val="00781646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link w:val="TechnicalBlock"/>
    <w:rsid w:val="00781646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781646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Normal"/>
    <w:rsid w:val="00781646"/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781646"/>
    <w:rPr>
      <w:color w:val="808080"/>
    </w:rPr>
  </w:style>
  <w:style w:type="paragraph" w:styleId="ListParagraph">
    <w:name w:val="List Paragraph"/>
    <w:aliases w:val="Listaszerű bekezdés1,List Paragraph à moi,Dot pt,F5 List Paragraph,Numbered Para 1,No Spacing1,List Paragraph Char Char Char,Indicator Text,Bullet Points,MAIN CONTENT,IFCL - List Paragraph,List Paragraph12,OBC Bullet,LISTA"/>
    <w:basedOn w:val="Normal"/>
    <w:link w:val="ListParagraphChar"/>
    <w:uiPriority w:val="34"/>
    <w:qFormat/>
    <w:rsid w:val="003832D1"/>
    <w:pPr>
      <w:ind w:left="720"/>
      <w:contextualSpacing/>
    </w:pPr>
  </w:style>
  <w:style w:type="paragraph" w:customStyle="1" w:styleId="TBEntInstit">
    <w:name w:val="TBEntInstit"/>
    <w:basedOn w:val="TechnicalBlockBase"/>
    <w:link w:val="EntInstitChar"/>
    <w:rsid w:val="00096432"/>
    <w:pPr>
      <w:spacing w:before="0" w:after="0" w:line="240" w:lineRule="auto"/>
      <w:ind w:left="0" w:right="0"/>
      <w:contextualSpacing/>
      <w:jc w:val="right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EntRefer">
    <w:name w:val="TBEntRefer"/>
    <w:basedOn w:val="TechnicalBlockBase"/>
    <w:rsid w:val="00096432"/>
    <w:pPr>
      <w:spacing w:before="0" w:after="0" w:line="240" w:lineRule="auto"/>
      <w:ind w:left="0" w:right="0"/>
    </w:pPr>
    <w:rPr>
      <w:rFonts w:ascii="Times New Roman" w:hAnsi="Times New Roman" w:cs="Times New Roman"/>
      <w:i w:val="0"/>
      <w:dstrike w:val="0"/>
      <w:color w:val="auto"/>
      <w:w w:val="100"/>
      <w:sz w:val="23"/>
      <w:u w:val="none"/>
    </w:rPr>
  </w:style>
  <w:style w:type="paragraph" w:customStyle="1" w:styleId="TBEntReferNew">
    <w:name w:val="TBEntReferNew"/>
    <w:basedOn w:val="TechnicalBlockBase"/>
    <w:rsid w:val="00096432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4"/>
      <w:szCs w:val="24"/>
      <w:u w:val="none"/>
      <w:lang w:eastAsia="en-US"/>
    </w:rPr>
  </w:style>
  <w:style w:type="paragraph" w:customStyle="1" w:styleId="TBInstitution">
    <w:name w:val="TBInstitution"/>
    <w:basedOn w:val="TechnicalBlockBase"/>
    <w:rsid w:val="00096432"/>
    <w:pPr>
      <w:spacing w:before="0" w:after="28" w:line="204" w:lineRule="auto"/>
      <w:ind w:left="0" w:right="0"/>
    </w:pPr>
    <w:rPr>
      <w:rFonts w:ascii="Arial" w:hAnsi="Arial"/>
      <w:i w:val="0"/>
      <w:dstrike w:val="0"/>
      <w:color w:val="626262"/>
      <w:spacing w:val="4"/>
      <w:w w:val="100"/>
      <w:sz w:val="24"/>
      <w:szCs w:val="23"/>
      <w:u w:val="none"/>
    </w:rPr>
  </w:style>
  <w:style w:type="paragraph" w:customStyle="1" w:styleId="TBNormalTechnicalBlock">
    <w:name w:val="TBNormalTechnicalBlock"/>
    <w:basedOn w:val="TechnicalBlockBase"/>
    <w:rsid w:val="00096432"/>
    <w:pPr>
      <w:spacing w:before="20" w:after="0" w:line="216" w:lineRule="auto"/>
      <w:ind w:left="0" w:right="0"/>
      <w:jc w:val="right"/>
    </w:pPr>
    <w:rPr>
      <w:rFonts w:ascii="Arial" w:hAnsi="Arial"/>
      <w:b w:val="0"/>
      <w:i w:val="0"/>
      <w:dstrike w:val="0"/>
      <w:color w:val="auto"/>
      <w:w w:val="100"/>
      <w:sz w:val="23"/>
      <w:szCs w:val="23"/>
      <w:u w:val="none"/>
    </w:rPr>
  </w:style>
  <w:style w:type="paragraph" w:customStyle="1" w:styleId="TBSousEmbargo">
    <w:name w:val="TBSousEmbargo"/>
    <w:basedOn w:val="TechnicalBlockBase"/>
    <w:qFormat/>
    <w:rsid w:val="00096432"/>
    <w:pPr>
      <w:spacing w:before="360" w:after="36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szCs w:val="23"/>
      <w:u w:val="double"/>
    </w:rPr>
  </w:style>
  <w:style w:type="character" w:customStyle="1" w:styleId="EntInstitChar">
    <w:name w:val="EntInstit Char"/>
    <w:basedOn w:val="DefaultParagraphFont"/>
    <w:link w:val="TBEntInstit"/>
    <w:rsid w:val="00096432"/>
    <w:rPr>
      <w:rFonts w:ascii="Arial" w:eastAsia="Times New Roman" w:hAnsi="Arial" w:cs="Arial"/>
      <w:b/>
      <w:sz w:val="23"/>
      <w:szCs w:val="20"/>
      <w:u w:color="606060"/>
      <w:lang w:val="en-GB" w:eastAsia="fr-BE"/>
    </w:rPr>
  </w:style>
  <w:style w:type="paragraph" w:customStyle="1" w:styleId="TBHeadingTable">
    <w:name w:val="TBHeadingTable"/>
    <w:basedOn w:val="TechnicalBlockBase"/>
    <w:rsid w:val="00096432"/>
    <w:pPr>
      <w:widowControl/>
      <w:spacing w:before="0" w:after="8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TableText">
    <w:name w:val="TBTableText"/>
    <w:basedOn w:val="TechnicalBlockBase"/>
    <w:qFormat/>
    <w:rsid w:val="00096432"/>
    <w:pPr>
      <w:widowControl/>
      <w:spacing w:before="40" w:after="80" w:line="240" w:lineRule="auto"/>
      <w:ind w:left="0" w:right="0"/>
      <w:jc w:val="center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customStyle="1" w:styleId="TechnicalBlockBase">
    <w:name w:val="TechnicalBlockBase"/>
    <w:link w:val="TechnicalBlockBaseChar"/>
    <w:rsid w:val="00096432"/>
    <w:pPr>
      <w:widowControl w:val="0"/>
      <w:spacing w:before="140" w:after="140" w:line="185" w:lineRule="auto"/>
      <w:ind w:left="260" w:right="260"/>
    </w:pPr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character" w:customStyle="1" w:styleId="TechnicalBlockBaseChar">
    <w:name w:val="TechnicalBlockBase Char"/>
    <w:basedOn w:val="EntInstitChar"/>
    <w:link w:val="TechnicalBlockBase"/>
    <w:rsid w:val="00096432"/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character" w:customStyle="1" w:styleId="PointManualChar">
    <w:name w:val="Point Manual Char"/>
    <w:link w:val="PointManual"/>
    <w:locked/>
    <w:rsid w:val="00E97007"/>
    <w:rPr>
      <w:rFonts w:ascii="Times New Roman" w:hAnsi="Times New Roman" w:cs="Times New Roman"/>
      <w:sz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BB56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62F"/>
    <w:rPr>
      <w:rFonts w:ascii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B562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05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52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42B"/>
    <w:rPr>
      <w:rFonts w:ascii="Times New Roman" w:hAnsi="Times New Roman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aliases w:val="Listaszerű bekezdés1 Char,List Paragraph à moi Char,Dot pt Char,F5 List Paragraph Char,Numbered Para 1 Char,No Spacing1 Char,List Paragraph Char Char Char Char,Indicator Text Char,Bullet Points Char,MAIN CONTENT Char,OBC Bullet Char"/>
    <w:link w:val="ListParagraph"/>
    <w:uiPriority w:val="34"/>
    <w:qFormat/>
    <w:locked/>
    <w:rsid w:val="00EE1F50"/>
    <w:rPr>
      <w:rFonts w:ascii="Times New Roman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8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0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0311">
                          <w:marLeft w:val="18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EAECF0"/>
                            <w:right w:val="none" w:sz="0" w:space="0" w:color="auto"/>
                          </w:divBdr>
                        </w:div>
                        <w:div w:id="184365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33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431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446450">
                          <w:marLeft w:val="18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EAECF0"/>
                            <w:right w:val="none" w:sz="0" w:space="0" w:color="auto"/>
                          </w:divBdr>
                        </w:div>
                        <w:div w:id="104487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33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6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bin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ocuWrite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DE45-0D5A-4985-A7A7-64852C8A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DW_AGENDA2.dotm</Template>
  <TotalTime>217</TotalTime>
  <Pages>6</Pages>
  <Words>1015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DQC</dc:creator>
  <cp:keywords/>
  <dc:description/>
  <cp:lastModifiedBy>CARNEIRO Suzana Claudia</cp:lastModifiedBy>
  <cp:revision>16</cp:revision>
  <dcterms:created xsi:type="dcterms:W3CDTF">2025-11-21T11:22:00Z</dcterms:created>
  <dcterms:modified xsi:type="dcterms:W3CDTF">2025-11-21T17:20:00Z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4.2.6.0</vt:lpwstr>
  </property>
  <property fmtid="{D5CDD505-2E9C-101B-9397-08002B2CF9AE}" pid="3" name="Last edited using">
    <vt:lpwstr>DocuWrite 4.13.1, Build 20250723</vt:lpwstr>
  </property>
  <property fmtid="{D5CDD505-2E9C-101B-9397-08002B2CF9AE}" pid="4" name="Created using">
    <vt:lpwstr>DocuWrite 4.3.4, Build 20190719</vt:lpwstr>
  </property>
  <property fmtid="{D5CDD505-2E9C-101B-9397-08002B2CF9AE}" pid="5" name="Meeting Number">
    <vt:lpwstr>3009</vt:lpwstr>
  </property>
  <property fmtid="{D5CDD505-2E9C-101B-9397-08002B2CF9AE}" pid="6" name="MSIP_Label_af60b174-6478-47f9-866e-33f097bb6603_Enabled">
    <vt:lpwstr>true</vt:lpwstr>
  </property>
  <property fmtid="{D5CDD505-2E9C-101B-9397-08002B2CF9AE}" pid="7" name="MSIP_Label_af60b174-6478-47f9-866e-33f097bb6603_SetDate">
    <vt:lpwstr>2024-11-11T14:59:05Z</vt:lpwstr>
  </property>
  <property fmtid="{D5CDD505-2E9C-101B-9397-08002B2CF9AE}" pid="8" name="MSIP_Label_af60b174-6478-47f9-866e-33f097bb6603_Method">
    <vt:lpwstr>Privileged</vt:lpwstr>
  </property>
  <property fmtid="{D5CDD505-2E9C-101B-9397-08002B2CF9AE}" pid="9" name="MSIP_Label_af60b174-6478-47f9-866e-33f097bb6603_Name">
    <vt:lpwstr>GSCEU - PUBLIC Label</vt:lpwstr>
  </property>
  <property fmtid="{D5CDD505-2E9C-101B-9397-08002B2CF9AE}" pid="10" name="MSIP_Label_af60b174-6478-47f9-866e-33f097bb6603_SiteId">
    <vt:lpwstr>03ad1c97-0a4d-4e82-8f93-27291a6a0767</vt:lpwstr>
  </property>
  <property fmtid="{D5CDD505-2E9C-101B-9397-08002B2CF9AE}" pid="11" name="MSIP_Label_af60b174-6478-47f9-866e-33f097bb6603_ActionId">
    <vt:lpwstr>ad01603a-9752-4f47-976a-ea29d44a08e3</vt:lpwstr>
  </property>
  <property fmtid="{D5CDD505-2E9C-101B-9397-08002B2CF9AE}" pid="12" name="MSIP_Label_af60b174-6478-47f9-866e-33f097bb6603_ContentBits">
    <vt:lpwstr>0</vt:lpwstr>
  </property>
</Properties>
</file>